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24790">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w:t>
      </w:r>
    </w:p>
    <w:p w14:paraId="117C91FB">
      <w:pPr>
        <w:pStyle w:val="13"/>
        <w:pageBreakBefore w:val="0"/>
        <w:kinsoku/>
        <w:wordWrap/>
        <w:overflowPunct/>
        <w:topLinePunct w:val="0"/>
        <w:autoSpaceDE/>
        <w:autoSpaceDN/>
        <w:bidi w:val="0"/>
        <w:adjustRightInd/>
        <w:snapToGrid/>
        <w:spacing w:line="560" w:lineRule="exact"/>
        <w:textAlignment w:val="auto"/>
        <w:rPr>
          <w:rFonts w:hint="eastAsia"/>
          <w:color w:val="auto"/>
          <w:lang w:val="en-US" w:eastAsia="zh-CN"/>
        </w:rPr>
      </w:pPr>
    </w:p>
    <w:p w14:paraId="3E89952E">
      <w:pPr>
        <w:pStyle w:val="1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lang w:eastAsia="zh-CN"/>
        </w:rPr>
      </w:pPr>
      <w:r>
        <w:rPr>
          <w:rFonts w:hint="eastAsia"/>
          <w:lang w:eastAsia="zh-CN"/>
        </w:rPr>
        <w:t>信息化</w:t>
      </w:r>
      <w:r>
        <w:rPr>
          <w:rFonts w:hint="eastAsia"/>
        </w:rPr>
        <w:t>项目需求</w:t>
      </w:r>
      <w:r>
        <w:rPr>
          <w:rFonts w:hint="eastAsia"/>
          <w:lang w:eastAsia="zh-CN"/>
        </w:rPr>
        <w:t>报告</w:t>
      </w:r>
    </w:p>
    <w:p w14:paraId="70123E8E">
      <w:pPr>
        <w:pageBreakBefore w:val="0"/>
        <w:kinsoku/>
        <w:wordWrap/>
        <w:overflowPunct/>
        <w:topLinePunct w:val="0"/>
        <w:autoSpaceDE/>
        <w:autoSpaceDN/>
        <w:bidi w:val="0"/>
        <w:adjustRightInd/>
        <w:snapToGrid/>
        <w:spacing w:line="560" w:lineRule="exact"/>
        <w:textAlignment w:val="auto"/>
        <w:rPr>
          <w:rFonts w:hint="eastAsia"/>
          <w:color w:val="auto"/>
          <w:lang w:eastAsia="zh-CN"/>
        </w:rPr>
      </w:pPr>
    </w:p>
    <w:p w14:paraId="7E8BACF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50"/>
        <w:textAlignment w:val="auto"/>
        <w:outlineLvl w:val="0"/>
        <w:rPr>
          <w:rFonts w:hint="eastAsia"/>
        </w:rPr>
      </w:pPr>
      <w:r>
        <w:rPr>
          <w:rFonts w:hint="eastAsia"/>
        </w:rPr>
        <w:t>项目简介</w:t>
      </w:r>
    </w:p>
    <w:p w14:paraId="32BA7BD5">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rPr>
      </w:pPr>
      <w:r>
        <w:rPr>
          <w:rFonts w:hint="eastAsia"/>
        </w:rPr>
        <w:t>项目名称</w:t>
      </w:r>
    </w:p>
    <w:p w14:paraId="001CD2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仿宋_GB2312"/>
          <w:color w:val="auto"/>
          <w:sz w:val="32"/>
          <w:szCs w:val="32"/>
          <w:lang w:eastAsia="zh-CN"/>
        </w:rPr>
      </w:pPr>
      <w:r>
        <w:rPr>
          <w:rFonts w:hint="eastAsia" w:cs="仿宋_GB2312"/>
          <w:color w:val="auto"/>
          <w:sz w:val="32"/>
          <w:szCs w:val="32"/>
          <w:lang w:eastAsia="zh-CN"/>
        </w:rPr>
        <w:t>社会保险信息系统</w:t>
      </w:r>
      <w:r>
        <w:rPr>
          <w:rFonts w:hint="eastAsia" w:ascii="仿宋_GB2312" w:hAnsi="仿宋_GB2312" w:eastAsia="仿宋_GB2312" w:cs="仿宋_GB2312"/>
          <w:color w:val="auto"/>
          <w:sz w:val="32"/>
          <w:szCs w:val="32"/>
        </w:rPr>
        <w:t>全险种业务“大管控”体系建设</w:t>
      </w:r>
      <w:r>
        <w:rPr>
          <w:rFonts w:hint="eastAsia" w:cs="仿宋_GB2312"/>
          <w:color w:val="auto"/>
          <w:sz w:val="32"/>
          <w:szCs w:val="32"/>
          <w:lang w:eastAsia="zh-CN"/>
        </w:rPr>
        <w:t>改造项目</w:t>
      </w:r>
    </w:p>
    <w:p w14:paraId="4EFDBC40">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ascii="楷体" w:hAnsi="楷体" w:eastAsia="楷体"/>
          <w:color w:val="auto"/>
          <w:sz w:val="32"/>
          <w:szCs w:val="32"/>
        </w:rPr>
      </w:pPr>
      <w:r>
        <w:rPr>
          <w:rFonts w:hint="eastAsia" w:ascii="楷体_GB2312" w:hAnsi="楷体_GB2312" w:eastAsia="楷体_GB2312"/>
          <w:color w:val="auto"/>
          <w:sz w:val="32"/>
          <w:szCs w:val="22"/>
        </w:rPr>
        <w:t>项目</w:t>
      </w:r>
      <w:r>
        <w:rPr>
          <w:rFonts w:hint="eastAsia" w:ascii="楷体" w:hAnsi="楷体" w:eastAsia="楷体"/>
          <w:color w:val="auto"/>
          <w:sz w:val="32"/>
          <w:szCs w:val="32"/>
        </w:rPr>
        <w:t>申报单位</w:t>
      </w:r>
    </w:p>
    <w:p w14:paraId="3DB29E6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1.单位（处室）名称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贵州省社会保险事业局</w:t>
      </w:r>
    </w:p>
    <w:p w14:paraId="51AA72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2.负责人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雷波</w:t>
      </w:r>
    </w:p>
    <w:p w14:paraId="5D9FD0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3.联系人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王求君</w:t>
      </w:r>
    </w:p>
    <w:p w14:paraId="1D6A06D8">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ascii="楷体" w:hAnsi="楷体" w:eastAsia="楷体"/>
          <w:color w:val="auto"/>
          <w:sz w:val="32"/>
          <w:szCs w:val="32"/>
        </w:rPr>
      </w:pPr>
      <w:r>
        <w:rPr>
          <w:rFonts w:hint="eastAsia" w:ascii="楷体" w:hAnsi="楷体" w:eastAsia="楷体"/>
          <w:color w:val="auto"/>
          <w:sz w:val="32"/>
          <w:szCs w:val="32"/>
        </w:rPr>
        <w:t>项目概述</w:t>
      </w:r>
    </w:p>
    <w:p w14:paraId="401AE2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w:t>
      </w:r>
      <w:r>
        <w:rPr>
          <w:rFonts w:hint="eastAsia" w:ascii="仿宋_GB2312" w:hAnsi="仿宋_GB2312" w:eastAsia="仿宋_GB2312" w:cs="仿宋_GB2312"/>
          <w:color w:val="auto"/>
          <w:sz w:val="32"/>
          <w:szCs w:val="32"/>
          <w:lang w:eastAsia="zh-CN"/>
        </w:rPr>
        <w:t>类别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改扩建</w:t>
      </w:r>
    </w:p>
    <w:p w14:paraId="59A729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.升级改造类项目，说明该项目建设的验收情况：</w:t>
      </w:r>
      <w:r>
        <w:rPr>
          <w:rFonts w:hint="eastAsia" w:cs="仿宋_GB2312"/>
          <w:color w:val="auto"/>
          <w:sz w:val="32"/>
          <w:szCs w:val="32"/>
          <w:lang w:eastAsia="zh-CN"/>
        </w:rPr>
        <w:t>（</w:t>
      </w:r>
      <w:r>
        <w:rPr>
          <w:rFonts w:hint="eastAsia" w:cs="仿宋_GB2312"/>
          <w:color w:val="auto"/>
          <w:sz w:val="32"/>
          <w:szCs w:val="32"/>
          <w:lang w:val="en-US" w:eastAsia="zh-CN"/>
        </w:rPr>
        <w:t>1</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贵州省社会保险三险合一信息系统于2021年9月上线，于2024年9月完成项目终验。</w:t>
      </w:r>
      <w:r>
        <w:rPr>
          <w:rFonts w:hint="eastAsia" w:cs="仿宋_GB2312"/>
          <w:color w:val="auto"/>
          <w:sz w:val="32"/>
          <w:szCs w:val="32"/>
          <w:lang w:eastAsia="zh-CN"/>
        </w:rPr>
        <w:t>（</w:t>
      </w:r>
      <w:r>
        <w:rPr>
          <w:rFonts w:hint="eastAsia" w:cs="仿宋_GB2312"/>
          <w:color w:val="auto"/>
          <w:sz w:val="32"/>
          <w:szCs w:val="32"/>
          <w:lang w:val="en-US" w:eastAsia="zh-CN"/>
        </w:rPr>
        <w:t>2</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贵州省机关保及职业年金系统于2023年10月改造上线，于2024年11月完成项目终验。</w:t>
      </w:r>
      <w:r>
        <w:rPr>
          <w:rFonts w:hint="eastAsia" w:cs="仿宋_GB2312"/>
          <w:color w:val="auto"/>
          <w:sz w:val="32"/>
          <w:szCs w:val="32"/>
          <w:lang w:eastAsia="zh-CN"/>
        </w:rPr>
        <w:t>（</w:t>
      </w:r>
      <w:r>
        <w:rPr>
          <w:rFonts w:hint="eastAsia" w:cs="仿宋_GB2312"/>
          <w:color w:val="auto"/>
          <w:sz w:val="32"/>
          <w:szCs w:val="32"/>
          <w:lang w:val="en-US" w:eastAsia="zh-CN"/>
        </w:rPr>
        <w:t>3</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贵州省社保基金财务管理系统于2022年7月改造上线，于2024年11月完成项目终验。</w:t>
      </w:r>
      <w:r>
        <w:rPr>
          <w:rFonts w:hint="eastAsia" w:cs="仿宋_GB2312"/>
          <w:color w:val="auto"/>
          <w:sz w:val="32"/>
          <w:szCs w:val="32"/>
          <w:lang w:eastAsia="zh-CN"/>
        </w:rPr>
        <w:t>（</w:t>
      </w:r>
      <w:r>
        <w:rPr>
          <w:rFonts w:hint="eastAsia" w:cs="仿宋_GB2312"/>
          <w:color w:val="auto"/>
          <w:sz w:val="32"/>
          <w:szCs w:val="32"/>
          <w:lang w:val="en-US" w:eastAsia="zh-CN"/>
        </w:rPr>
        <w:t>4</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贵州省社会保险网上服务系统于2022年11月改造上线，于2024年12月完成终验。</w:t>
      </w:r>
      <w:r>
        <w:rPr>
          <w:rFonts w:hint="eastAsia" w:cs="仿宋_GB2312"/>
          <w:color w:val="auto"/>
          <w:sz w:val="32"/>
          <w:szCs w:val="32"/>
          <w:lang w:eastAsia="zh-CN"/>
        </w:rPr>
        <w:t>（</w:t>
      </w:r>
      <w:r>
        <w:rPr>
          <w:rFonts w:hint="eastAsia" w:cs="仿宋_GB2312"/>
          <w:color w:val="auto"/>
          <w:sz w:val="32"/>
          <w:szCs w:val="32"/>
          <w:lang w:val="en-US" w:eastAsia="zh-CN"/>
        </w:rPr>
        <w:t>5</w:t>
      </w:r>
      <w:r>
        <w:rPr>
          <w:rFonts w:hint="eastAsia" w:cs="仿宋_GB2312"/>
          <w:color w:val="auto"/>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社会保险基金监管系统</w:t>
      </w:r>
      <w:r>
        <w:rPr>
          <w:rFonts w:hint="eastAsia" w:cs="仿宋_GB2312"/>
          <w:color w:val="000000" w:themeColor="text1"/>
          <w:sz w:val="32"/>
          <w:szCs w:val="32"/>
          <w:lang w:eastAsia="zh-CN"/>
          <w14:textFill>
            <w14:solidFill>
              <w14:schemeClr w14:val="tx1"/>
            </w14:solidFill>
          </w14:textFill>
        </w:rPr>
        <w:t>是人社部组织开发的全国系统，采用省级部署的方式使用，</w:t>
      </w:r>
      <w:r>
        <w:rPr>
          <w:rFonts w:hint="eastAsia" w:ascii="仿宋_GB2312" w:hAnsi="仿宋_GB2312" w:eastAsia="仿宋_GB2312" w:cs="仿宋_GB2312"/>
          <w:color w:val="000000" w:themeColor="text1"/>
          <w:sz w:val="32"/>
          <w:szCs w:val="32"/>
          <w14:textFill>
            <w14:solidFill>
              <w14:schemeClr w14:val="tx1"/>
            </w14:solidFill>
          </w14:textFill>
        </w:rPr>
        <w:t>2022年12月在贵州省进行部署安装</w:t>
      </w:r>
      <w:r>
        <w:rPr>
          <w:rFonts w:hint="eastAsia" w:cs="仿宋_GB2312"/>
          <w:color w:val="000000" w:themeColor="text1"/>
          <w:sz w:val="32"/>
          <w:szCs w:val="32"/>
          <w:lang w:eastAsia="zh-CN"/>
          <w14:textFill>
            <w14:solidFill>
              <w14:schemeClr w14:val="tx1"/>
            </w14:solidFill>
          </w14:textFill>
        </w:rPr>
        <w:t>完成，投入使用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cs="仿宋_GB2312"/>
          <w:color w:val="000000" w:themeColor="text1"/>
          <w:sz w:val="32"/>
          <w:szCs w:val="32"/>
          <w:lang w:eastAsia="zh-CN"/>
          <w14:textFill>
            <w14:solidFill>
              <w14:schemeClr w14:val="tx1"/>
            </w14:solidFill>
          </w14:textFill>
        </w:rPr>
        <w:t>（</w:t>
      </w:r>
      <w:r>
        <w:rPr>
          <w:rFonts w:hint="eastAsia" w:cs="仿宋_GB2312"/>
          <w:color w:val="000000" w:themeColor="text1"/>
          <w:sz w:val="32"/>
          <w:szCs w:val="32"/>
          <w:lang w:val="en-US" w:eastAsia="zh-CN"/>
          <w14:textFill>
            <w14:solidFill>
              <w14:schemeClr w14:val="tx1"/>
            </w14:solidFill>
          </w14:textFill>
        </w:rPr>
        <w:t>6</w:t>
      </w:r>
      <w:r>
        <w:rPr>
          <w:rFonts w:hint="eastAsia" w:cs="仿宋_GB2312"/>
          <w:color w:val="000000" w:themeColor="text1"/>
          <w:sz w:val="32"/>
          <w:szCs w:val="32"/>
          <w:lang w:eastAsia="zh-CN"/>
          <w14:textFill>
            <w14:solidFill>
              <w14:schemeClr w14:val="tx1"/>
            </w14:solidFill>
          </w14:textFill>
        </w:rPr>
        <w:t>）贵州省工伤认定劳动能力鉴定信息系统于</w:t>
      </w:r>
      <w:r>
        <w:rPr>
          <w:rFonts w:hint="eastAsia" w:ascii="仿宋_GB2312" w:hAnsi="仿宋_GB2312" w:eastAsia="仿宋_GB2312" w:cs="仿宋_GB2312"/>
          <w:sz w:val="32"/>
          <w:szCs w:val="32"/>
          <w:lang w:val="en-US" w:eastAsia="zh-CN"/>
        </w:rPr>
        <w:t>2019年投入使用</w:t>
      </w:r>
      <w:r>
        <w:rPr>
          <w:rFonts w:hint="eastAsia" w:cs="仿宋_GB2312"/>
          <w:sz w:val="32"/>
          <w:szCs w:val="32"/>
          <w:lang w:val="en-US" w:eastAsia="zh-CN"/>
        </w:rPr>
        <w:t>。</w:t>
      </w:r>
    </w:p>
    <w:p w14:paraId="34979D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3.系统使用范围，主要使用对象，服务人群：全省参保人、全省参保单位、全省</w:t>
      </w:r>
      <w:r>
        <w:rPr>
          <w:rFonts w:hint="eastAsia" w:cs="仿宋_GB2312"/>
          <w:color w:val="auto"/>
          <w:sz w:val="32"/>
          <w:szCs w:val="32"/>
          <w:lang w:val="en-US" w:eastAsia="zh-CN"/>
        </w:rPr>
        <w:t>社会保险</w:t>
      </w:r>
      <w:r>
        <w:rPr>
          <w:rFonts w:hint="eastAsia" w:ascii="仿宋_GB2312" w:hAnsi="仿宋_GB2312" w:eastAsia="仿宋_GB2312" w:cs="仿宋_GB2312"/>
          <w:color w:val="auto"/>
          <w:sz w:val="32"/>
          <w:szCs w:val="32"/>
          <w:lang w:val="en-US" w:eastAsia="zh-CN"/>
        </w:rPr>
        <w:t>经办机构</w:t>
      </w:r>
      <w:r>
        <w:rPr>
          <w:rFonts w:hint="eastAsia" w:cs="仿宋_GB2312"/>
          <w:color w:val="auto"/>
          <w:sz w:val="32"/>
          <w:szCs w:val="32"/>
          <w:lang w:val="en-US" w:eastAsia="zh-CN"/>
        </w:rPr>
        <w:t>经办人员、基金监督管理机构工作人员、劳动能力认定鉴定机构经办人员等</w:t>
      </w:r>
      <w:r>
        <w:rPr>
          <w:rFonts w:hint="eastAsia" w:ascii="仿宋_GB2312" w:hAnsi="仿宋_GB2312" w:eastAsia="仿宋_GB2312" w:cs="仿宋_GB2312"/>
          <w:color w:val="auto"/>
          <w:sz w:val="32"/>
          <w:szCs w:val="32"/>
          <w:lang w:val="en-US" w:eastAsia="zh-CN"/>
        </w:rPr>
        <w:t>。</w:t>
      </w:r>
    </w:p>
    <w:p w14:paraId="6A506F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rPr>
      </w:pPr>
      <w:r>
        <w:rPr>
          <w:rFonts w:hint="eastAsia"/>
        </w:rPr>
        <w:t>项目建设依据</w:t>
      </w:r>
    </w:p>
    <w:p w14:paraId="04DDB290">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rPr>
      </w:pPr>
      <w:r>
        <w:rPr>
          <w:rFonts w:hint="eastAsia"/>
        </w:rPr>
        <w:t>项目背景</w:t>
      </w:r>
    </w:p>
    <w:p w14:paraId="33938E6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lang w:val="en-US" w:eastAsia="zh-CN"/>
        </w:rPr>
        <w:t>以习近平新时代中国特色社会主义思想为指导，深入贯彻党的二十大和二十届二中、三中全会精神，按照全国标准统一、部省实时联动、多险合一管控思路，</w:t>
      </w:r>
      <w:r>
        <w:rPr>
          <w:rFonts w:hint="eastAsia"/>
          <w:lang w:val="en-US" w:eastAsia="zh-CN"/>
        </w:rPr>
        <w:t>深入推动全省社会保险一体化平台建设，</w:t>
      </w:r>
      <w:r>
        <w:rPr>
          <w:rFonts w:hint="default"/>
          <w:lang w:val="en-US" w:eastAsia="zh-CN"/>
        </w:rPr>
        <w:t>建立社会保险全险种业务“大管控”体系，深入推进社会保险经办数字化转型，实现全国数据实时汇聚、业务办理规范可溯、基金风险分级管控、公共服务均等可及、决策支持科学精准、共享协同社会赋能，全面提升服务效能和治理能力。</w:t>
      </w:r>
    </w:p>
    <w:p w14:paraId="0C25338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lang w:val="en-US" w:eastAsia="zh-CN"/>
        </w:rPr>
        <w:t>党的二十大报告指出：“健全覆盖全民、统筹城乡、公平统一、安全规范、可持续的多层次社会保障体系”“完善基本养老保险全国统筹制度，发展多层次、多支柱养老保险体系”“扩大社会保险覆盖面，健全基本养老、基本医疗保险筹资和待遇调整机制，推动基本医疗保险、失业保险、工伤保险省级统筹”“加快完善全国统一的社会保险公共服务平台”。近年来，国务院、人社部、</w:t>
      </w:r>
      <w:r>
        <w:rPr>
          <w:rFonts w:hint="eastAsia"/>
          <w:lang w:val="en-US" w:eastAsia="zh-CN"/>
        </w:rPr>
        <w:t>省委、省政府</w:t>
      </w:r>
      <w:r>
        <w:rPr>
          <w:rFonts w:hint="default"/>
          <w:lang w:val="en-US" w:eastAsia="zh-CN"/>
        </w:rPr>
        <w:t>陆续出台多份文件，对社保工作提出更高要求，均急需对全省统一的社会保险信息系统进行适应性升级改造，</w:t>
      </w:r>
      <w:r>
        <w:rPr>
          <w:rFonts w:hint="eastAsia"/>
          <w:lang w:val="en-US" w:eastAsia="zh-CN"/>
        </w:rPr>
        <w:t>进一步强化社会保险相关各类信息系统的整合，</w:t>
      </w:r>
      <w:r>
        <w:rPr>
          <w:rFonts w:hint="default"/>
          <w:lang w:val="en-US" w:eastAsia="zh-CN"/>
        </w:rPr>
        <w:t>以支撑全省各险种社保业务经办</w:t>
      </w:r>
      <w:r>
        <w:rPr>
          <w:rFonts w:hint="eastAsia"/>
          <w:lang w:val="en-US" w:eastAsia="zh-CN"/>
        </w:rPr>
        <w:t>，基金监督管理</w:t>
      </w:r>
      <w:r>
        <w:rPr>
          <w:rFonts w:hint="default"/>
          <w:lang w:val="en-US" w:eastAsia="zh-CN"/>
        </w:rPr>
        <w:t>，</w:t>
      </w:r>
      <w:r>
        <w:rPr>
          <w:rFonts w:hint="eastAsia"/>
          <w:lang w:val="en-US" w:eastAsia="zh-CN"/>
        </w:rPr>
        <w:t>数据融合应用，</w:t>
      </w:r>
      <w:r>
        <w:rPr>
          <w:rFonts w:hint="default"/>
          <w:lang w:val="en-US" w:eastAsia="zh-CN"/>
        </w:rPr>
        <w:t>确保相关政策落地落实。</w:t>
      </w:r>
    </w:p>
    <w:p w14:paraId="3CF10D7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olor w:val="000000" w:themeColor="text1"/>
          <w:sz w:val="32"/>
          <w:szCs w:val="22"/>
          <w14:textFill>
            <w14:solidFill>
              <w14:schemeClr w14:val="tx1"/>
            </w14:solidFill>
          </w14:textFill>
        </w:rPr>
      </w:pPr>
      <w:r>
        <w:rPr>
          <w:rFonts w:hint="default"/>
          <w:lang w:val="en-US" w:eastAsia="zh-CN"/>
        </w:rPr>
        <w:t>为加快社会保险</w:t>
      </w:r>
      <w:r>
        <w:rPr>
          <w:rFonts w:hint="eastAsia"/>
          <w:lang w:val="en-US" w:eastAsia="zh-CN"/>
        </w:rPr>
        <w:t>信息系统的升级完善改造</w:t>
      </w:r>
      <w:r>
        <w:rPr>
          <w:rFonts w:hint="default"/>
          <w:lang w:val="en-US" w:eastAsia="zh-CN"/>
        </w:rPr>
        <w:t>，借鉴企业职工基本养老保险业务“大管控”实现思路，以全国标准统一、数据实时同步、部省两级联动、风险有效管控为总体要求，统筹推进失业保险、工伤保险、城乡居民基本养老保险、</w:t>
      </w:r>
      <w:r>
        <w:rPr>
          <w:rFonts w:hint="eastAsia"/>
          <w:lang w:val="en-US" w:eastAsia="zh-CN"/>
        </w:rPr>
        <w:t>贵州省机关保及职业年金、工伤认定及劳动能力鉴定、社会保险基金监督等</w:t>
      </w:r>
      <w:r>
        <w:rPr>
          <w:rFonts w:hint="default"/>
          <w:lang w:val="en-US" w:eastAsia="zh-CN"/>
        </w:rPr>
        <w:t>业务“大管控”工作。依托人力资源和社会保障服务网络，以部级平台和省</w:t>
      </w:r>
      <w:r>
        <w:rPr>
          <w:rFonts w:hint="eastAsia"/>
          <w:lang w:val="en-US" w:eastAsia="zh-CN"/>
        </w:rPr>
        <w:t>级</w:t>
      </w:r>
      <w:r>
        <w:rPr>
          <w:rFonts w:hint="default"/>
          <w:lang w:val="en-US" w:eastAsia="zh-CN"/>
        </w:rPr>
        <w:t>社会保险业务经办系统为基础，通过部省两级建设部署全国统一业务中台，规范我省本地生产数据技术标准，通过部省数据同步通道，实现数据实时向部级汇聚，实现失业保险、工伤保险、城乡居民基本养老保险、机关事业单位养老保险数据全国集中管理，支持失业保险、工伤保险、城乡居民基本养老保险、机关事业单位养老保险业务经办实时风险管控、集中监管和分析预警。</w:t>
      </w:r>
      <w:bookmarkStart w:id="0" w:name="OLE_LINK4"/>
    </w:p>
    <w:p w14:paraId="58E0CC2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ascii="仿宋_GB2312" w:hAnsi="仿宋_GB2312" w:eastAsia="仿宋_GB2312"/>
          <w:color w:val="000000" w:themeColor="text1"/>
          <w:sz w:val="32"/>
          <w:szCs w:val="22"/>
          <w14:textFill>
            <w14:solidFill>
              <w14:schemeClr w14:val="tx1"/>
            </w14:solidFill>
          </w14:textFill>
        </w:rPr>
        <w:t>按照人力资源和社会保障部办公厅《关于加快金保工程二期社会保险基金监管系统应用的通知》（人社厅函〔2024〕161号）的通知要求</w:t>
      </w:r>
      <w:bookmarkEnd w:id="0"/>
      <w:r>
        <w:rPr>
          <w:rFonts w:hint="default" w:ascii="仿宋_GB2312" w:hAnsi="仿宋_GB2312" w:eastAsia="仿宋_GB2312"/>
          <w:color w:val="000000" w:themeColor="text1"/>
          <w:sz w:val="32"/>
          <w:szCs w:val="22"/>
          <w14:textFill>
            <w14:solidFill>
              <w14:schemeClr w14:val="tx1"/>
            </w14:solidFill>
          </w14:textFill>
        </w:rPr>
        <w:t>，深入贯彻落实习近平总书记关于社保基金安全的重要指示批示精神，巩固夯实社保基金管理问题专项整治和提升年行动工作成果，加快构建社保基金非现场监督工作机制，有条件的地区，可结合实际对二期监管系统开展本地化改造升级，在不影响社保经办效率的前提下应充分开发利用社会保险生产库数据，同时积极协调其他部门数据接入系统，以进一步提升系统自动查找发现问题的精准性、全面性、有效性。</w:t>
      </w:r>
    </w:p>
    <w:p w14:paraId="7F15408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随着互联网技术的快速发展以及贵州社会保险参保覆盖面的不断扩大、参保人员对工伤保险认识的不断提高、疑难案件与虚假报案的出现，对工伤保险</w:t>
      </w:r>
      <w:r>
        <w:rPr>
          <w:rFonts w:hint="eastAsia" w:ascii="仿宋_GB2312" w:hAnsi="仿宋_GB2312" w:eastAsia="仿宋_GB2312" w:cs="仿宋_GB2312"/>
          <w:sz w:val="32"/>
          <w:szCs w:val="32"/>
          <w:lang w:eastAsia="zh-CN"/>
        </w:rPr>
        <w:t>基金风险防控</w:t>
      </w:r>
      <w:r>
        <w:rPr>
          <w:rFonts w:hint="eastAsia" w:ascii="仿宋_GB2312" w:hAnsi="仿宋_GB2312" w:eastAsia="仿宋_GB2312" w:cs="仿宋_GB2312"/>
          <w:sz w:val="32"/>
          <w:szCs w:val="32"/>
        </w:rPr>
        <w:t>工作提出了更高的要求，需要</w:t>
      </w:r>
      <w:r>
        <w:rPr>
          <w:rFonts w:hint="eastAsia" w:ascii="仿宋_GB2312" w:hAnsi="仿宋_GB2312" w:eastAsia="仿宋_GB2312" w:cs="仿宋_GB2312"/>
          <w:sz w:val="32"/>
          <w:szCs w:val="32"/>
          <w:lang w:eastAsia="zh-CN"/>
        </w:rPr>
        <w:t>进一步</w:t>
      </w:r>
      <w:r>
        <w:rPr>
          <w:rFonts w:hint="eastAsia" w:cs="仿宋_GB2312"/>
          <w:sz w:val="32"/>
          <w:szCs w:val="32"/>
          <w:lang w:eastAsia="zh-CN"/>
        </w:rPr>
        <w:t>完善调整工伤认定及劳动能力鉴定系统</w:t>
      </w:r>
      <w:r>
        <w:rPr>
          <w:rFonts w:hint="eastAsia" w:ascii="仿宋_GB2312" w:hAnsi="仿宋_GB2312" w:eastAsia="仿宋_GB2312" w:cs="仿宋_GB2312"/>
          <w:sz w:val="32"/>
          <w:szCs w:val="32"/>
          <w:lang w:eastAsia="zh-CN"/>
        </w:rPr>
        <w:t>功能，</w:t>
      </w:r>
      <w:r>
        <w:rPr>
          <w:rFonts w:hint="eastAsia" w:cs="仿宋_GB2312"/>
          <w:sz w:val="32"/>
          <w:szCs w:val="32"/>
          <w:lang w:eastAsia="zh-CN"/>
        </w:rPr>
        <w:t>实现认定鉴定数据与社保数据的深入融通，实现系统整合。</w:t>
      </w:r>
      <w:r>
        <w:rPr>
          <w:rFonts w:hint="eastAsia" w:ascii="仿宋_GB2312" w:hAnsi="仿宋_GB2312" w:eastAsia="仿宋_GB2312" w:cs="仿宋_GB2312"/>
          <w:sz w:val="32"/>
          <w:szCs w:val="32"/>
          <w:lang w:eastAsia="zh-CN"/>
        </w:rPr>
        <w:t>同时，</w:t>
      </w:r>
      <w:r>
        <w:rPr>
          <w:rFonts w:hint="eastAsia" w:cs="仿宋_GB2312"/>
          <w:sz w:val="32"/>
          <w:szCs w:val="32"/>
          <w:lang w:eastAsia="zh-CN"/>
        </w:rPr>
        <w:t>为</w:t>
      </w:r>
      <w:r>
        <w:rPr>
          <w:rFonts w:hint="eastAsia" w:ascii="仿宋_GB2312" w:hAnsi="仿宋_GB2312" w:eastAsia="仿宋_GB2312" w:cs="仿宋_GB2312"/>
          <w:sz w:val="32"/>
          <w:szCs w:val="32"/>
        </w:rPr>
        <w:t>深入贯彻落实党中央、国务院关于推进新就业形态就业人员职业伤害保障工作</w:t>
      </w:r>
      <w:r>
        <w:rPr>
          <w:rFonts w:hint="eastAsia" w:ascii="仿宋_GB2312" w:hAnsi="仿宋_GB2312" w:eastAsia="仿宋_GB2312" w:cs="仿宋_GB2312"/>
          <w:sz w:val="32"/>
          <w:szCs w:val="32"/>
          <w:lang w:eastAsia="zh-CN"/>
        </w:rPr>
        <w:t>，并要求各省积极推进省级职业伤害保障信息</w:t>
      </w:r>
      <w:r>
        <w:rPr>
          <w:rFonts w:hint="eastAsia" w:cs="仿宋_GB2312"/>
          <w:sz w:val="32"/>
          <w:szCs w:val="32"/>
          <w:lang w:eastAsia="zh-CN"/>
        </w:rPr>
        <w:t>平台</w:t>
      </w:r>
      <w:r>
        <w:rPr>
          <w:rFonts w:hint="eastAsia" w:ascii="仿宋_GB2312" w:hAnsi="仿宋_GB2312" w:eastAsia="仿宋_GB2312" w:cs="仿宋_GB2312"/>
          <w:sz w:val="32"/>
          <w:szCs w:val="32"/>
          <w:lang w:eastAsia="zh-CN"/>
        </w:rPr>
        <w:t>建设工作</w:t>
      </w:r>
      <w:r>
        <w:rPr>
          <w:rFonts w:hint="eastAsia" w:ascii="仿宋_GB2312" w:hAnsi="仿宋_GB2312" w:eastAsia="仿宋_GB2312" w:cs="仿宋_GB2312"/>
          <w:sz w:val="32"/>
          <w:szCs w:val="32"/>
        </w:rPr>
        <w:t>。充分利用信息化手段，提升管理服务</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，保障平台从业人员权益，促进平台经济规范健康发展。</w:t>
      </w:r>
    </w:p>
    <w:p w14:paraId="6014F71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lang w:val="en-US" w:eastAsia="zh-CN"/>
        </w:rPr>
        <w:t>近年来受各类信息安全事件影响，关键领域信息系统国产化替代工作已经上升到国家战略层面，国产化形势不可逆转且迫在眉睫。人社部为推进人社行业应用</w:t>
      </w:r>
      <w:r>
        <w:rPr>
          <w:rFonts w:hint="eastAsia"/>
          <w:lang w:val="en-US" w:eastAsia="zh-CN"/>
        </w:rPr>
        <w:t>国产化</w:t>
      </w:r>
      <w:r>
        <w:rPr>
          <w:rFonts w:hint="default"/>
          <w:lang w:val="en-US" w:eastAsia="zh-CN"/>
        </w:rPr>
        <w:t>建设，印发了《人力资源社会保障行业应用信创建设指南》，为人社领域</w:t>
      </w:r>
      <w:r>
        <w:rPr>
          <w:rFonts w:hint="eastAsia"/>
          <w:lang w:val="en-US" w:eastAsia="zh-CN"/>
        </w:rPr>
        <w:t>国产化</w:t>
      </w:r>
      <w:r>
        <w:rPr>
          <w:rFonts w:hint="default"/>
          <w:lang w:val="en-US" w:eastAsia="zh-CN"/>
        </w:rPr>
        <w:t>建设工作提出了指导性意见。</w:t>
      </w:r>
      <w:r>
        <w:rPr>
          <w:rFonts w:hint="eastAsia"/>
          <w:lang w:val="en-US" w:eastAsia="zh-CN"/>
        </w:rPr>
        <w:t>为</w:t>
      </w:r>
      <w:r>
        <w:rPr>
          <w:rFonts w:hint="default"/>
          <w:lang w:val="en-US" w:eastAsia="zh-CN"/>
        </w:rPr>
        <w:t>此，</w:t>
      </w:r>
      <w:r>
        <w:rPr>
          <w:rFonts w:hint="eastAsia"/>
          <w:lang w:val="en-US" w:eastAsia="zh-CN"/>
        </w:rPr>
        <w:t>贵州</w:t>
      </w:r>
      <w:r>
        <w:rPr>
          <w:rFonts w:hint="default"/>
          <w:lang w:val="en-US" w:eastAsia="zh-CN"/>
        </w:rPr>
        <w:t>省社会保险信息系统需完成国产化改造。</w:t>
      </w:r>
    </w:p>
    <w:p w14:paraId="1CEB4C09">
      <w:pPr>
        <w:pStyle w:val="5"/>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rPr>
      </w:pPr>
      <w:r>
        <w:rPr>
          <w:rFonts w:hint="eastAsia"/>
        </w:rPr>
        <w:t>与本项目相关的其他信息化系统情况</w:t>
      </w:r>
    </w:p>
    <w:p w14:paraId="4711722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1.</w:t>
      </w:r>
      <w:r>
        <w:rPr>
          <w:rFonts w:hint="eastAsia"/>
        </w:rPr>
        <w:t>贵州省社会保险三险合一信息系统</w:t>
      </w:r>
      <w:r>
        <w:rPr>
          <w:rFonts w:hint="eastAsia"/>
          <w:lang w:eastAsia="zh-CN"/>
        </w:rPr>
        <w:t>。</w:t>
      </w:r>
      <w:r>
        <w:rPr>
          <w:rFonts w:hint="eastAsia"/>
        </w:rPr>
        <w:t>覆盖企业职工和城乡居民社会保险业务，为企业职工提供养老保险、工伤保险、失业保险的基础信息管理、缴费管理、待遇管理、个人账户管理、基金财务管理等功能。为全省城乡居民提供包括基础信息管理、缴费管理、待遇管理、个人账户管理、基金财务管理等基本养老保险业务功能。支持社会保险电子档案管理，提供档案电子化，档案保存、档案调阅等功能。</w:t>
      </w:r>
      <w:r>
        <w:rPr>
          <w:rFonts w:hint="eastAsia"/>
          <w:lang w:val="en-US" w:eastAsia="zh-CN"/>
        </w:rPr>
        <w:t>总计约2000余个功能。</w:t>
      </w:r>
      <w:r>
        <w:rPr>
          <w:rFonts w:hint="eastAsia"/>
        </w:rPr>
        <w:t>服务各类企业职工参保人员超过700万，服务城乡居民参保人群1900万人。</w:t>
      </w:r>
    </w:p>
    <w:p w14:paraId="3FE3029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val="en-US" w:eastAsia="zh-CN"/>
        </w:rPr>
        <w:t>2.</w:t>
      </w:r>
      <w:r>
        <w:rPr>
          <w:rFonts w:hint="eastAsia"/>
        </w:rPr>
        <w:t>贵州省机关保及职业年金系统</w:t>
      </w:r>
      <w:r>
        <w:rPr>
          <w:rFonts w:hint="eastAsia"/>
          <w:lang w:eastAsia="zh-CN"/>
        </w:rPr>
        <w:t>。</w:t>
      </w:r>
      <w:r>
        <w:rPr>
          <w:rFonts w:hint="eastAsia"/>
        </w:rPr>
        <w:t>为全省的机关事业单位养老保险及职业年金的参保单位和参保人提供，参保登记，变更，基金征缴，转移接续，待遇核定，待遇发放，年金投资，账户管理，公共服务等相关业务。总计约</w:t>
      </w:r>
      <w:r>
        <w:rPr>
          <w:rFonts w:hint="eastAsia"/>
          <w:lang w:val="en-US" w:eastAsia="zh-CN"/>
        </w:rPr>
        <w:t>40</w:t>
      </w:r>
      <w:r>
        <w:rPr>
          <w:rFonts w:hint="eastAsia"/>
        </w:rPr>
        <w:t>0余个功能。</w:t>
      </w:r>
    </w:p>
    <w:p w14:paraId="5392753F">
      <w:pPr>
        <w:keepNext w:val="0"/>
        <w:keepLines w:val="0"/>
        <w:pageBreakBefore w:val="0"/>
        <w:widowControl/>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eastAsia="zh-CN"/>
        </w:rPr>
        <w:t>贵州省社会保险网上服务系统。全省28万余家参保单位、</w:t>
      </w:r>
      <w:r>
        <w:rPr>
          <w:rFonts w:hint="eastAsia"/>
          <w:lang w:val="en-US" w:eastAsia="zh-CN"/>
        </w:rPr>
        <w:t>1万余家建筑项目、</w:t>
      </w:r>
      <w:r>
        <w:rPr>
          <w:rFonts w:hint="eastAsia"/>
          <w:lang w:eastAsia="zh-CN"/>
        </w:rPr>
        <w:t>200余家体检机构在使用，年业务办理量达千万人次，月均业务量过百万人次。总计约</w:t>
      </w:r>
      <w:r>
        <w:rPr>
          <w:rFonts w:hint="eastAsia"/>
          <w:lang w:val="en-US" w:eastAsia="zh-CN"/>
        </w:rPr>
        <w:t>5</w:t>
      </w:r>
      <w:r>
        <w:rPr>
          <w:rFonts w:hint="eastAsia"/>
          <w:lang w:eastAsia="zh-CN"/>
        </w:rPr>
        <w:t>00余个功能。</w:t>
      </w:r>
    </w:p>
    <w:p w14:paraId="4D466863">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lang w:val="en-US" w:eastAsia="zh-CN"/>
        </w:rPr>
        <w:t>4.</w:t>
      </w:r>
      <w:r>
        <w:rPr>
          <w:rFonts w:hint="eastAsia"/>
          <w:lang w:eastAsia="zh-CN"/>
        </w:rPr>
        <w:t>贵州省社保基金财务管理系统。服务于</w:t>
      </w:r>
      <w:r>
        <w:rPr>
          <w:rFonts w:hint="eastAsia"/>
          <w:lang w:val="en-US" w:eastAsia="zh-CN"/>
        </w:rPr>
        <w:t>全省各级105个社保经办机构</w:t>
      </w:r>
      <w:r>
        <w:rPr>
          <w:rFonts w:hint="eastAsia"/>
          <w:lang w:eastAsia="zh-CN"/>
        </w:rPr>
        <w:t>，</w:t>
      </w:r>
      <w:r>
        <w:rPr>
          <w:rFonts w:hint="eastAsia"/>
          <w:lang w:val="en-US" w:eastAsia="zh-CN"/>
        </w:rPr>
        <w:t>近</w:t>
      </w:r>
      <w:r>
        <w:rPr>
          <w:rFonts w:hint="eastAsia"/>
          <w:lang w:eastAsia="zh-CN"/>
        </w:rPr>
        <w:t>500名在岗社保基金财务管理工作人员使用。总计约</w:t>
      </w:r>
      <w:r>
        <w:rPr>
          <w:rFonts w:hint="eastAsia"/>
          <w:lang w:val="en-US" w:eastAsia="zh-CN"/>
        </w:rPr>
        <w:t>6</w:t>
      </w:r>
      <w:r>
        <w:rPr>
          <w:rFonts w:hint="eastAsia"/>
          <w:lang w:eastAsia="zh-CN"/>
        </w:rPr>
        <w:t>00余个功能。</w:t>
      </w:r>
    </w:p>
    <w:p w14:paraId="72D0AF4A">
      <w:pPr>
        <w:widowControl/>
        <w:spacing w:line="560" w:lineRule="exact"/>
        <w:ind w:left="0" w:leftChars="0" w:firstLine="640" w:firstLineChars="200"/>
        <w:rPr>
          <w:rFonts w:hint="eastAsia" w:ascii="仿宋_GB2312" w:hAnsi="仿宋_GB2312" w:eastAsia="仿宋_GB2312"/>
          <w:sz w:val="32"/>
          <w:szCs w:val="22"/>
        </w:rPr>
      </w:pPr>
      <w:r>
        <w:rPr>
          <w:rFonts w:hint="eastAsia"/>
          <w:lang w:val="en-US" w:eastAsia="zh-CN"/>
        </w:rPr>
        <w:t>5.</w:t>
      </w:r>
      <w:r>
        <w:rPr>
          <w:rFonts w:hint="eastAsia" w:ascii="仿宋_GB2312" w:hAnsi="仿宋_GB2312" w:eastAsia="仿宋_GB2312" w:cstheme="minorBidi"/>
          <w:color w:val="000000" w:themeColor="text1"/>
          <w:sz w:val="32"/>
          <w:szCs w:val="22"/>
          <w14:textFill>
            <w14:solidFill>
              <w14:schemeClr w14:val="tx1"/>
            </w14:solidFill>
          </w14:textFill>
        </w:rPr>
        <w:t>社会保险基金监管系统</w:t>
      </w:r>
      <w:r>
        <w:rPr>
          <w:rFonts w:hint="eastAsia" w:ascii="仿宋_GB2312" w:hAnsi="仿宋_GB2312" w:eastAsia="仿宋_GB2312"/>
          <w:color w:val="000000" w:themeColor="text1"/>
          <w:sz w:val="32"/>
          <w:szCs w:val="22"/>
          <w14:textFill>
            <w14:solidFill>
              <w14:schemeClr w14:val="tx1"/>
            </w14:solidFill>
          </w14:textFill>
        </w:rPr>
        <w:t>自2022年12月在贵州省部署并运行使用以来，完成了近10亿条联网数据的监控，产生各类数据380GB，系统发出</w:t>
      </w:r>
      <w:r>
        <w:rPr>
          <w:rFonts w:hint="eastAsia"/>
          <w:color w:val="000000" w:themeColor="text1"/>
          <w:sz w:val="32"/>
          <w:szCs w:val="22"/>
          <w:lang w:eastAsia="zh-CN"/>
          <w14:textFill>
            <w14:solidFill>
              <w14:schemeClr w14:val="tx1"/>
            </w14:solidFill>
          </w14:textFill>
        </w:rPr>
        <w:t>近</w:t>
      </w:r>
      <w:r>
        <w:rPr>
          <w:rFonts w:hint="eastAsia"/>
          <w:color w:val="000000" w:themeColor="text1"/>
          <w:sz w:val="32"/>
          <w:szCs w:val="22"/>
          <w:lang w:val="en-US" w:eastAsia="zh-CN"/>
          <w14:textFill>
            <w14:solidFill>
              <w14:schemeClr w14:val="tx1"/>
            </w14:solidFill>
          </w14:textFill>
        </w:rPr>
        <w:t>7000</w:t>
      </w:r>
      <w:r>
        <w:rPr>
          <w:rFonts w:hint="eastAsia" w:ascii="仿宋_GB2312" w:hAnsi="仿宋_GB2312" w:eastAsia="仿宋_GB2312"/>
          <w:color w:val="000000" w:themeColor="text1"/>
          <w:sz w:val="32"/>
          <w:szCs w:val="22"/>
          <w14:textFill>
            <w14:solidFill>
              <w14:schemeClr w14:val="tx1"/>
            </w14:solidFill>
          </w14:textFill>
        </w:rPr>
        <w:t>条</w:t>
      </w:r>
      <w:r>
        <w:rPr>
          <w:rFonts w:hint="eastAsia"/>
          <w:color w:val="000000" w:themeColor="text1"/>
          <w:sz w:val="32"/>
          <w:szCs w:val="22"/>
          <w:lang w:eastAsia="zh-CN"/>
          <w14:textFill>
            <w14:solidFill>
              <w14:schemeClr w14:val="tx1"/>
            </w14:solidFill>
          </w14:textFill>
        </w:rPr>
        <w:t>各类</w:t>
      </w:r>
      <w:r>
        <w:rPr>
          <w:rFonts w:hint="eastAsia" w:ascii="仿宋_GB2312" w:hAnsi="仿宋_GB2312" w:eastAsia="仿宋_GB2312"/>
          <w:color w:val="000000" w:themeColor="text1"/>
          <w:sz w:val="32"/>
          <w:szCs w:val="22"/>
          <w14:textFill>
            <w14:solidFill>
              <w14:schemeClr w14:val="tx1"/>
            </w14:solidFill>
          </w14:textFill>
        </w:rPr>
        <w:t>预警，</w:t>
      </w:r>
      <w:r>
        <w:rPr>
          <w:rFonts w:hint="eastAsia"/>
          <w:color w:val="000000" w:themeColor="text1"/>
          <w:sz w:val="32"/>
          <w:szCs w:val="22"/>
          <w:lang w:eastAsia="zh-CN"/>
          <w14:textFill>
            <w14:solidFill>
              <w14:schemeClr w14:val="tx1"/>
            </w14:solidFill>
          </w14:textFill>
        </w:rPr>
        <w:t>核查</w:t>
      </w:r>
      <w:r>
        <w:rPr>
          <w:rFonts w:hint="eastAsia" w:ascii="仿宋_GB2312" w:hAnsi="仿宋_GB2312" w:eastAsia="仿宋_GB2312"/>
          <w:color w:val="000000" w:themeColor="text1"/>
          <w:sz w:val="32"/>
          <w:szCs w:val="22"/>
          <w14:textFill>
            <w14:solidFill>
              <w14:schemeClr w14:val="tx1"/>
            </w14:solidFill>
          </w14:textFill>
        </w:rPr>
        <w:t>疑点数据</w:t>
      </w:r>
      <w:r>
        <w:rPr>
          <w:rFonts w:hint="eastAsia"/>
          <w:color w:val="000000" w:themeColor="text1"/>
          <w:sz w:val="32"/>
          <w:szCs w:val="22"/>
          <w:lang w:val="en-US" w:eastAsia="zh-CN"/>
          <w14:textFill>
            <w14:solidFill>
              <w14:schemeClr w14:val="tx1"/>
            </w14:solidFill>
          </w14:textFill>
        </w:rPr>
        <w:t>2.1万条</w:t>
      </w:r>
      <w:r>
        <w:rPr>
          <w:rFonts w:hint="eastAsia" w:ascii="仿宋_GB2312" w:hAnsi="仿宋_GB2312" w:eastAsia="仿宋_GB2312"/>
          <w:color w:val="000000" w:themeColor="text1"/>
          <w:sz w:val="32"/>
          <w:szCs w:val="22"/>
          <w14:textFill>
            <w14:solidFill>
              <w14:schemeClr w14:val="tx1"/>
            </w14:solidFill>
          </w14:textFill>
        </w:rPr>
        <w:t>，非现场监管效果明显。系统用户130</w:t>
      </w:r>
      <w:r>
        <w:rPr>
          <w:rFonts w:hint="eastAsia"/>
          <w:color w:val="000000" w:themeColor="text1"/>
          <w:sz w:val="32"/>
          <w:szCs w:val="22"/>
          <w:lang w:eastAsia="zh-CN"/>
          <w14:textFill>
            <w14:solidFill>
              <w14:schemeClr w14:val="tx1"/>
            </w14:solidFill>
          </w14:textFill>
        </w:rPr>
        <w:t>余</w:t>
      </w:r>
      <w:r>
        <w:rPr>
          <w:rFonts w:hint="eastAsia" w:ascii="仿宋_GB2312" w:hAnsi="仿宋_GB2312" w:eastAsia="仿宋_GB2312"/>
          <w:color w:val="000000" w:themeColor="text1"/>
          <w:sz w:val="32"/>
          <w:szCs w:val="22"/>
          <w14:textFill>
            <w14:solidFill>
              <w14:schemeClr w14:val="tx1"/>
            </w14:solidFill>
          </w14:textFill>
        </w:rPr>
        <w:t>个，覆盖各级社保基金监督部门，</w:t>
      </w:r>
      <w:r>
        <w:rPr>
          <w:rFonts w:hint="eastAsia"/>
          <w:color w:val="000000" w:themeColor="text1"/>
          <w:sz w:val="32"/>
          <w:szCs w:val="22"/>
          <w:lang w:eastAsia="zh-CN"/>
          <w14:textFill>
            <w14:solidFill>
              <w14:schemeClr w14:val="tx1"/>
            </w14:solidFill>
          </w14:textFill>
        </w:rPr>
        <w:t>系统</w:t>
      </w:r>
      <w:r>
        <w:rPr>
          <w:rFonts w:hint="eastAsia" w:ascii="仿宋_GB2312" w:hAnsi="仿宋_GB2312" w:eastAsia="仿宋_GB2312"/>
          <w:color w:val="000000" w:themeColor="text1"/>
          <w:sz w:val="32"/>
          <w:szCs w:val="22"/>
          <w14:textFill>
            <w14:solidFill>
              <w14:schemeClr w14:val="tx1"/>
            </w14:solidFill>
          </w14:textFill>
        </w:rPr>
        <w:t>已成为基金监督人员非现场监督工作的重要</w:t>
      </w:r>
      <w:r>
        <w:rPr>
          <w:rFonts w:hint="eastAsia"/>
          <w:color w:val="000000" w:themeColor="text1"/>
          <w:sz w:val="32"/>
          <w:szCs w:val="22"/>
          <w:lang w:eastAsia="zh-CN"/>
          <w14:textFill>
            <w14:solidFill>
              <w14:schemeClr w14:val="tx1"/>
            </w14:solidFill>
          </w14:textFill>
        </w:rPr>
        <w:t>助手</w:t>
      </w:r>
      <w:r>
        <w:rPr>
          <w:rFonts w:hint="eastAsia" w:ascii="仿宋_GB2312" w:hAnsi="仿宋_GB2312" w:eastAsia="仿宋_GB2312"/>
          <w:color w:val="000000" w:themeColor="text1"/>
          <w:sz w:val="32"/>
          <w:szCs w:val="22"/>
          <w14:textFill>
            <w14:solidFill>
              <w14:schemeClr w14:val="tx1"/>
            </w14:solidFill>
          </w14:textFill>
        </w:rPr>
        <w:t>。</w:t>
      </w:r>
    </w:p>
    <w:p w14:paraId="1528A59A">
      <w:pPr>
        <w:widowControl/>
        <w:spacing w:line="560" w:lineRule="exact"/>
        <w:ind w:left="0" w:leftChars="0" w:firstLine="640" w:firstLineChars="200"/>
        <w:rPr>
          <w:rFonts w:hint="eastAsia" w:ascii="仿宋_GB2312" w:hAnsi="仿宋_GB2312" w:eastAsia="仿宋_GB2312" w:cs="仿宋_GB2312"/>
          <w:color w:val="000000" w:themeColor="text1"/>
          <w:sz w:val="32"/>
          <w:szCs w:val="22"/>
          <w14:textFill>
            <w14:solidFill>
              <w14:schemeClr w14:val="tx1"/>
            </w14:solidFill>
          </w14:textFill>
        </w:rPr>
      </w:pPr>
      <w:r>
        <w:rPr>
          <w:rFonts w:hint="eastAsia" w:cs="仿宋_GB2312"/>
          <w:sz w:val="32"/>
          <w:szCs w:val="22"/>
          <w:lang w:val="en-US" w:eastAsia="zh-CN"/>
        </w:rPr>
        <w:t>6.</w:t>
      </w:r>
      <w:r>
        <w:rPr>
          <w:rFonts w:hint="eastAsia" w:ascii="仿宋_GB2312" w:hAnsi="仿宋_GB2312" w:eastAsia="仿宋_GB2312" w:cs="仿宋_GB2312"/>
          <w:sz w:val="32"/>
          <w:szCs w:val="32"/>
          <w:lang w:eastAsia="zh-CN"/>
        </w:rPr>
        <w:t>贵州省工伤认定劳动能力鉴定信息系统提供模块140余个，实现全流程化管理。涉及参数管理、基本信息管理、工伤申请管理、认定受理管理、调查核实管理、认定决定管理、认定撤销管理、复议诉讼管理、文书管理、专家库管理、鉴定委员会成员库管理、鉴定申请管理、鉴定受理管理、鉴定管理登记。截止2025年4月，工伤认定申请17</w:t>
      </w:r>
      <w:r>
        <w:rPr>
          <w:rFonts w:hint="eastAsia" w:cs="仿宋_GB2312"/>
          <w:sz w:val="32"/>
          <w:szCs w:val="32"/>
          <w:lang w:val="en-US" w:eastAsia="zh-CN"/>
        </w:rPr>
        <w:t>.</w:t>
      </w:r>
      <w:r>
        <w:rPr>
          <w:rFonts w:hint="eastAsia" w:ascii="仿宋_GB2312" w:hAnsi="仿宋_GB2312" w:eastAsia="仿宋_GB2312" w:cs="仿宋_GB2312"/>
          <w:sz w:val="32"/>
          <w:szCs w:val="32"/>
          <w:lang w:eastAsia="zh-CN"/>
        </w:rPr>
        <w:t>5</w:t>
      </w:r>
      <w:r>
        <w:rPr>
          <w:rFonts w:hint="eastAsia" w:cs="仿宋_GB2312"/>
          <w:sz w:val="32"/>
          <w:szCs w:val="32"/>
          <w:lang w:eastAsia="zh-CN"/>
        </w:rPr>
        <w:t>万</w:t>
      </w:r>
      <w:r>
        <w:rPr>
          <w:rFonts w:hint="eastAsia" w:ascii="仿宋_GB2312" w:hAnsi="仿宋_GB2312" w:eastAsia="仿宋_GB2312" w:cs="仿宋_GB2312"/>
          <w:sz w:val="32"/>
          <w:szCs w:val="32"/>
          <w:lang w:eastAsia="zh-CN"/>
        </w:rPr>
        <w:t>人次，劳动能力鉴定申请14</w:t>
      </w:r>
      <w:r>
        <w:rPr>
          <w:rFonts w:hint="eastAsia" w:cs="仿宋_GB2312"/>
          <w:sz w:val="32"/>
          <w:szCs w:val="32"/>
          <w:lang w:val="en-US" w:eastAsia="zh-CN"/>
        </w:rPr>
        <w:t>.</w:t>
      </w:r>
      <w:r>
        <w:rPr>
          <w:rFonts w:hint="eastAsia" w:ascii="仿宋_GB2312" w:hAnsi="仿宋_GB2312" w:eastAsia="仿宋_GB2312" w:cs="仿宋_GB2312"/>
          <w:sz w:val="32"/>
          <w:szCs w:val="32"/>
          <w:lang w:eastAsia="zh-CN"/>
        </w:rPr>
        <w:t>3</w:t>
      </w:r>
      <w:r>
        <w:rPr>
          <w:rFonts w:hint="eastAsia" w:cs="仿宋_GB2312"/>
          <w:sz w:val="32"/>
          <w:szCs w:val="32"/>
          <w:lang w:eastAsia="zh-CN"/>
        </w:rPr>
        <w:t>万</w:t>
      </w:r>
      <w:r>
        <w:rPr>
          <w:rFonts w:hint="eastAsia" w:ascii="仿宋_GB2312" w:hAnsi="仿宋_GB2312" w:eastAsia="仿宋_GB2312" w:cs="仿宋_GB2312"/>
          <w:sz w:val="32"/>
          <w:szCs w:val="32"/>
          <w:lang w:eastAsia="zh-CN"/>
        </w:rPr>
        <w:t>人次。</w:t>
      </w:r>
    </w:p>
    <w:p w14:paraId="0B5C2151">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lang w:eastAsia="zh-CN"/>
        </w:rPr>
      </w:pPr>
      <w:r>
        <w:rPr>
          <w:rFonts w:hint="eastAsia"/>
          <w:lang w:eastAsia="zh-CN"/>
        </w:rPr>
        <w:t>项目建设意义和必要性</w:t>
      </w:r>
    </w:p>
    <w:p w14:paraId="533F02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本项目是贵州省人社厅深入贯彻国务院、人社部相关文件指示与会议精神，加强社会保障体系建设，全面建成覆盖全民、统筹城乡、权责清晰、保障适度、可持续的多层次社会保障体系</w:t>
      </w:r>
      <w:r>
        <w:rPr>
          <w:rFonts w:hint="eastAsia" w:ascii="仿宋_GB2312" w:hAnsi="仿宋_GB2312" w:eastAsia="仿宋_GB2312" w:cs="仿宋_GB2312"/>
          <w:color w:val="auto"/>
          <w:sz w:val="32"/>
          <w:szCs w:val="32"/>
          <w:lang w:val="en-US" w:eastAsia="zh-CN"/>
        </w:rPr>
        <w:t>的重要举措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auto"/>
          <w:sz w:val="32"/>
          <w:szCs w:val="32"/>
          <w:lang w:eastAsia="zh-CN"/>
        </w:rPr>
        <w:t>遵从部级统一标准，积极开展</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lang w:eastAsia="zh-CN"/>
        </w:rPr>
        <w:t>信息化建设，灵活采取“改、融、建”相结合的方法，对现有系统进行整合改造，</w:t>
      </w:r>
      <w:r>
        <w:rPr>
          <w:rFonts w:hint="eastAsia" w:ascii="仿宋_GB2312" w:hAnsi="仿宋_GB2312" w:eastAsia="仿宋_GB2312" w:cs="仿宋_GB2312"/>
          <w:color w:val="auto"/>
          <w:sz w:val="32"/>
          <w:szCs w:val="32"/>
          <w:lang w:val="en-US" w:eastAsia="zh-CN"/>
        </w:rPr>
        <w:t>对完善社会保险公共服务体系、提高社会保险风险防控能力、</w:t>
      </w:r>
      <w:r>
        <w:rPr>
          <w:rFonts w:hint="eastAsia" w:ascii="仿宋_GB2312" w:hAnsi="仿宋_GB2312" w:eastAsia="仿宋_GB2312" w:cs="仿宋_GB2312"/>
          <w:color w:val="auto"/>
          <w:sz w:val="32"/>
          <w:szCs w:val="32"/>
          <w:lang w:eastAsia="zh-CN"/>
        </w:rPr>
        <w:t>加速推进社会保险全国统筹</w:t>
      </w:r>
      <w:r>
        <w:rPr>
          <w:rFonts w:hint="eastAsia" w:ascii="仿宋_GB2312" w:hAnsi="仿宋_GB2312" w:eastAsia="仿宋_GB2312" w:cs="仿宋_GB2312"/>
          <w:color w:val="auto"/>
          <w:sz w:val="32"/>
          <w:szCs w:val="32"/>
          <w:lang w:val="en-US" w:eastAsia="zh-CN"/>
        </w:rPr>
        <w:t>具有重大意义</w:t>
      </w:r>
      <w:r>
        <w:rPr>
          <w:rFonts w:hint="eastAsia" w:ascii="仿宋_GB2312" w:hAnsi="仿宋_GB2312" w:eastAsia="仿宋_GB2312" w:cs="仿宋_GB2312"/>
          <w:color w:val="auto"/>
          <w:sz w:val="32"/>
          <w:szCs w:val="32"/>
          <w:lang w:eastAsia="zh-CN"/>
        </w:rPr>
        <w:t>。</w:t>
      </w:r>
      <w:r>
        <w:rPr>
          <w:rFonts w:hint="eastAsia" w:cs="仿宋_GB2312"/>
          <w:color w:val="auto"/>
          <w:sz w:val="32"/>
          <w:szCs w:val="32"/>
          <w:lang w:eastAsia="zh-CN"/>
        </w:rPr>
        <w:t>同时，</w:t>
      </w:r>
      <w:r>
        <w:rPr>
          <w:rFonts w:hint="eastAsia" w:ascii="仿宋_GB2312" w:hAnsi="仿宋_GB2312" w:eastAsia="仿宋_GB2312" w:cs="仿宋_GB2312"/>
          <w:color w:val="auto"/>
          <w:sz w:val="32"/>
          <w:szCs w:val="32"/>
          <w:lang w:eastAsia="zh-CN"/>
        </w:rPr>
        <w:t>社会保险信息系统作为国家重要的民生保障系统，其信息安全直接关系到国家安全和社会稳定。因此，从国家信息安全战略的角度出发，对社会保险信息系统进行国产化改造，是确保国家信息安全、维护社会稳定的重要举措。通过采用国产软硬件产品和技术，可以降低对外部技术的依赖，减少潜在的信息安全威胁，提升社会保险信息系统的自主可控能力和安全保障水平。</w:t>
      </w:r>
    </w:p>
    <w:p w14:paraId="0835F4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从项目建设规划上看，本项目严格遵循省人力资源社会保障厅三年信息化建设规划，进一步大力推进社会保险信息系统整合工作。一方面，通过系统整合进一步融通社会保险相关数据，开展深度的数据治理，进一步夯实人社数据基础，为数据共享开放和数据资源的开发利用提供保障支持。另一方面，通过系统整合和国产化改造工作，进一步压减所需设备资源和运维资金，达到集约化管控的目标要求。</w:t>
      </w:r>
    </w:p>
    <w:p w14:paraId="6AB45850">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rPr>
      </w:pPr>
      <w:r>
        <w:rPr>
          <w:rFonts w:hint="eastAsia"/>
        </w:rPr>
        <w:t>建设依据清单</w:t>
      </w:r>
    </w:p>
    <w:p w14:paraId="2A57F6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cs="仿宋_GB2312"/>
          <w:color w:val="auto"/>
          <w:sz w:val="32"/>
          <w:szCs w:val="32"/>
          <w:lang w:val="en-US" w:eastAsia="zh-CN"/>
        </w:rPr>
        <w:t>人力资源社会保障部</w:t>
      </w:r>
      <w:r>
        <w:rPr>
          <w:rFonts w:hint="eastAsia" w:ascii="仿宋_GB2312" w:hAnsi="仿宋_GB2312" w:eastAsia="仿宋_GB2312" w:cs="仿宋_GB2312"/>
          <w:color w:val="auto"/>
          <w:sz w:val="32"/>
          <w:szCs w:val="32"/>
          <w:lang w:val="en-US" w:eastAsia="zh-CN"/>
        </w:rPr>
        <w:t>关于开展社会保险全险种业务管控信息化建设工作的通知》（人社部函〔2025〕25号）</w:t>
      </w:r>
    </w:p>
    <w:p w14:paraId="3DEB1A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《2024年人力资源和社会保障网络安全和信息化工作要点》（人社网信函〔2024〕2号）</w:t>
      </w:r>
    </w:p>
    <w:p w14:paraId="2ED24D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《人力资源社会保障行业应用信创建设指南》（人社网信函〔2024〕</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号）</w:t>
      </w:r>
    </w:p>
    <w:p w14:paraId="67B60A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《人力资源社会保障部办公厅关于将失业保险金业务经办风险防控规则嵌入信息系统的通知》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人社厅函〔2023〕116号</w:t>
      </w:r>
      <w:r>
        <w:rPr>
          <w:rFonts w:hint="eastAsia" w:cs="仿宋_GB2312"/>
          <w:color w:val="auto"/>
          <w:sz w:val="32"/>
          <w:szCs w:val="32"/>
          <w:lang w:val="en-US" w:eastAsia="zh-CN"/>
        </w:rPr>
        <w:t>）</w:t>
      </w:r>
    </w:p>
    <w:p w14:paraId="3B33CB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《人力资源社会保障部办公厅关于印发〈工伤保险事中管控规则（试行）〉的通知》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人社厅函〔2023〕162号</w:t>
      </w:r>
      <w:r>
        <w:rPr>
          <w:rFonts w:hint="eastAsia" w:cs="仿宋_GB2312"/>
          <w:color w:val="auto"/>
          <w:sz w:val="32"/>
          <w:szCs w:val="32"/>
          <w:lang w:val="en-US" w:eastAsia="zh-CN"/>
        </w:rPr>
        <w:t>）</w:t>
      </w:r>
    </w:p>
    <w:p w14:paraId="4A9423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关于印发《城乡居民基本养老保险事中管控规则（试行）》的通知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人社厅函〔2024〕64号</w:t>
      </w:r>
      <w:r>
        <w:rPr>
          <w:rFonts w:hint="eastAsia" w:cs="仿宋_GB2312"/>
          <w:color w:val="auto"/>
          <w:sz w:val="32"/>
          <w:szCs w:val="32"/>
          <w:lang w:val="en-US" w:eastAsia="zh-CN"/>
        </w:rPr>
        <w:t>）</w:t>
      </w:r>
    </w:p>
    <w:p w14:paraId="3407D0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lang w:val="en-US" w:eastAsia="zh-CN"/>
        </w:rPr>
      </w:pP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人力资源社会保障部办公厅关于印发</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机关事业单位工作人员养老保险事中管控规则（试行）</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人社厅函〔2024〕65号</w:t>
      </w:r>
      <w:r>
        <w:rPr>
          <w:rFonts w:hint="eastAsia" w:cs="仿宋_GB2312"/>
          <w:color w:val="auto"/>
          <w:sz w:val="32"/>
          <w:szCs w:val="32"/>
          <w:lang w:val="en-US" w:eastAsia="zh-CN"/>
        </w:rPr>
        <w:t>）</w:t>
      </w:r>
    </w:p>
    <w:p w14:paraId="268429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关于印发</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社会保险数据稽核规则库3.0版</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人社险中心函〔2023〕37号</w:t>
      </w:r>
      <w:r>
        <w:rPr>
          <w:rFonts w:hint="eastAsia" w:cs="仿宋_GB2312"/>
          <w:color w:val="auto"/>
          <w:sz w:val="32"/>
          <w:szCs w:val="32"/>
          <w:lang w:val="en-US" w:eastAsia="zh-CN"/>
        </w:rPr>
        <w:t>）</w:t>
      </w:r>
    </w:p>
    <w:p w14:paraId="15AAE3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《关于通过养老保险全国统筹业务管控系统开展业务申诉工作的通知》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人社险中心函〔2024〕23号</w:t>
      </w:r>
      <w:r>
        <w:rPr>
          <w:rFonts w:hint="eastAsia" w:cs="仿宋_GB2312"/>
          <w:color w:val="auto"/>
          <w:sz w:val="32"/>
          <w:szCs w:val="32"/>
          <w:lang w:val="en-US" w:eastAsia="zh-CN"/>
        </w:rPr>
        <w:t>）</w:t>
      </w:r>
    </w:p>
    <w:p w14:paraId="71124C14">
      <w:pPr>
        <w:pStyle w:val="11"/>
        <w:rPr>
          <w:rFonts w:hint="eastAsia"/>
          <w:lang w:val="en-US" w:eastAsia="zh-CN"/>
        </w:rPr>
      </w:pPr>
      <w:r>
        <w:rPr>
          <w:rFonts w:hint="eastAsia"/>
          <w:lang w:val="en-US" w:eastAsia="zh-CN"/>
        </w:rPr>
        <w:t>《企业职工基本养老保险业务状态数据规范(2.0版)》</w:t>
      </w:r>
    </w:p>
    <w:p w14:paraId="27FF57B7">
      <w:pPr>
        <w:pStyle w:val="11"/>
        <w:spacing w:line="600" w:lineRule="exact"/>
        <w:ind w:leftChars="0" w:firstLine="640" w:firstLineChars="200"/>
        <w:rPr>
          <w:rFonts w:hint="eastAsia" w:ascii="仿宋_GB2312" w:hAnsi="仿宋_GB2312" w:eastAsia="仿宋_GB2312"/>
          <w:color w:val="000000" w:themeColor="text1"/>
          <w:sz w:val="32"/>
          <w:szCs w:val="22"/>
          <w14:textFill>
            <w14:solidFill>
              <w14:schemeClr w14:val="tx1"/>
            </w14:solidFill>
          </w14:textFill>
        </w:rPr>
      </w:pPr>
      <w:r>
        <w:rPr>
          <w:rFonts w:hint="eastAsia" w:ascii="仿宋_GB2312" w:hAnsi="仿宋_GB2312" w:eastAsia="仿宋_GB2312"/>
          <w:color w:val="000000" w:themeColor="text1"/>
          <w:sz w:val="32"/>
          <w:szCs w:val="22"/>
          <w14:textFill>
            <w14:solidFill>
              <w14:schemeClr w14:val="tx1"/>
            </w14:solidFill>
          </w14:textFill>
        </w:rPr>
        <w:t>《社会保险基金管理巩固提升行动方案》</w:t>
      </w:r>
    </w:p>
    <w:p w14:paraId="3F84BC20">
      <w:pPr>
        <w:pStyle w:val="11"/>
        <w:ind w:left="0" w:leftChars="0" w:firstLine="640" w:firstLineChars="200"/>
        <w:rPr>
          <w:rFonts w:hint="eastAsia"/>
          <w:color w:val="000000" w:themeColor="text1"/>
          <w14:textFill>
            <w14:solidFill>
              <w14:schemeClr w14:val="tx1"/>
            </w14:solidFill>
          </w14:textFill>
        </w:rPr>
      </w:pPr>
      <w:r>
        <w:rPr>
          <w:rFonts w:hint="eastAsia" w:ascii="仿宋_GB2312" w:hAnsi="仿宋_GB2312" w:eastAsia="仿宋_GB2312"/>
          <w:color w:val="000000" w:themeColor="text1"/>
          <w:sz w:val="32"/>
          <w:szCs w:val="22"/>
          <w14:textFill>
            <w14:solidFill>
              <w14:schemeClr w14:val="tx1"/>
            </w14:solidFill>
          </w14:textFill>
        </w:rPr>
        <w:t>《</w:t>
      </w:r>
      <w:r>
        <w:rPr>
          <w:rFonts w:hint="eastAsia" w:ascii="仿宋_GB2312" w:hAnsi="仿宋_GB2312" w:eastAsia="仿宋_GB2312"/>
          <w:color w:val="000000" w:themeColor="text1"/>
          <w:sz w:val="32"/>
          <w:szCs w:val="22"/>
          <w:lang w:eastAsia="zh-CN"/>
          <w14:textFill>
            <w14:solidFill>
              <w14:schemeClr w14:val="tx1"/>
            </w14:solidFill>
          </w14:textFill>
        </w:rPr>
        <w:t>人力资源社会保障部办公厅</w:t>
      </w:r>
      <w:r>
        <w:rPr>
          <w:rFonts w:hint="eastAsia" w:ascii="仿宋_GB2312" w:hAnsi="仿宋_GB2312" w:eastAsia="仿宋_GB2312"/>
          <w:color w:val="000000" w:themeColor="text1"/>
          <w:sz w:val="32"/>
          <w:szCs w:val="22"/>
          <w14:textFill>
            <w14:solidFill>
              <w14:schemeClr w14:val="tx1"/>
            </w14:solidFill>
          </w14:textFill>
        </w:rPr>
        <w:t>关于加快推进金保工程二期社会保险基金监管系统应用的通知》</w:t>
      </w:r>
    </w:p>
    <w:p w14:paraId="2158A2F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《人力资源社会保障部关于印发</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&lt;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社会保险基金管理巩固提升行动方案</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&gt;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的通知》（人社函〔2023〕50号）</w:t>
      </w:r>
    </w:p>
    <w:p w14:paraId="18D886D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《人力资源社会保障部办公厅关于全力提升工伤保险基金管理水平有效防范基金管理风险有关工作的通知》（人社厅发〔2024〕34号）</w:t>
      </w:r>
    </w:p>
    <w:p w14:paraId="1FDC777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《人力资源社会保障部等十部门关于开展新就业形态从业人员职业伤害保障试点工作的通知》（人社部发〔2021〕110号）</w:t>
      </w:r>
    </w:p>
    <w:p w14:paraId="723C46D4">
      <w:pPr>
        <w:pStyle w:val="13"/>
        <w:rPr>
          <w:rFonts w:hint="eastAsia"/>
        </w:rPr>
      </w:pPr>
      <w:r>
        <w:rPr>
          <w:rFonts w:hint="eastAsia"/>
          <w:lang w:eastAsia="zh-CN"/>
        </w:rPr>
        <w:t>《</w:t>
      </w:r>
      <w:r>
        <w:rPr>
          <w:rFonts w:hint="eastAsia"/>
        </w:rPr>
        <w:t>关于印发全国统一社会保险全险种业务中台数据结构和原子业务技术规范的通知</w:t>
      </w:r>
      <w:r>
        <w:rPr>
          <w:rFonts w:hint="eastAsia"/>
          <w:lang w:eastAsia="zh-CN"/>
        </w:rPr>
        <w:t>》（</w:t>
      </w:r>
      <w:r>
        <w:rPr>
          <w:rFonts w:hint="eastAsia"/>
          <w:lang w:val="en-US" w:eastAsia="zh-CN"/>
        </w:rPr>
        <w:t>V2.0版</w:t>
      </w:r>
      <w:r>
        <w:rPr>
          <w:rFonts w:hint="eastAsia"/>
          <w:lang w:eastAsia="zh-CN"/>
        </w:rPr>
        <w:t>）</w:t>
      </w:r>
      <w:r>
        <w:rPr>
          <w:rFonts w:hint="eastAsia"/>
        </w:rPr>
        <w:t>（人社厅函〔2025〕54号）</w:t>
      </w:r>
    </w:p>
    <w:p w14:paraId="5BBA423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rPr>
      </w:pPr>
      <w:r>
        <w:rPr>
          <w:rFonts w:hint="eastAsia"/>
        </w:rPr>
        <w:t>需求分析</w:t>
      </w:r>
    </w:p>
    <w:p w14:paraId="3A4CC1C6">
      <w:pPr>
        <w:pStyle w:val="5"/>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0"/>
        <w:textAlignment w:val="auto"/>
        <w:outlineLvl w:val="1"/>
        <w:rPr>
          <w:rFonts w:hint="eastAsia"/>
        </w:rPr>
      </w:pPr>
      <w:r>
        <w:rPr>
          <w:rFonts w:hint="eastAsia"/>
        </w:rPr>
        <w:t>项目建设目标</w:t>
      </w:r>
    </w:p>
    <w:p w14:paraId="33CAD9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以习近平新时代中国特色社会主义思想和关于社会保障的系列讲话为指导，坚持以人民为中心的发展思想，稳步推进社会保险各项制度改革落地落实。紧密结合国家和我省</w:t>
      </w:r>
      <w:r>
        <w:rPr>
          <w:rFonts w:hint="eastAsia" w:cs="仿宋_GB2312"/>
          <w:color w:val="auto"/>
          <w:sz w:val="32"/>
          <w:szCs w:val="32"/>
          <w:lang w:eastAsia="zh-CN"/>
        </w:rPr>
        <w:t>“数字人社”建设行动</w:t>
      </w:r>
      <w:r>
        <w:rPr>
          <w:rFonts w:hint="eastAsia" w:ascii="仿宋_GB2312" w:hAnsi="仿宋_GB2312" w:eastAsia="仿宋_GB2312" w:cs="仿宋_GB2312"/>
          <w:color w:val="auto"/>
          <w:sz w:val="32"/>
          <w:szCs w:val="32"/>
        </w:rPr>
        <w:t>，按照社保经办数字化</w:t>
      </w:r>
      <w:r>
        <w:rPr>
          <w:rFonts w:hint="eastAsia" w:cs="仿宋_GB2312"/>
          <w:color w:val="auto"/>
          <w:sz w:val="32"/>
          <w:szCs w:val="32"/>
          <w:lang w:eastAsia="zh-CN"/>
        </w:rPr>
        <w:t>改革</w:t>
      </w:r>
      <w:r>
        <w:rPr>
          <w:rFonts w:hint="eastAsia" w:ascii="仿宋_GB2312" w:hAnsi="仿宋_GB2312" w:eastAsia="仿宋_GB2312" w:cs="仿宋_GB2312"/>
          <w:color w:val="auto"/>
          <w:sz w:val="32"/>
          <w:szCs w:val="32"/>
        </w:rPr>
        <w:t>的目标与方向，通过优化完善社保信息系统、拓展</w:t>
      </w:r>
      <w:r>
        <w:rPr>
          <w:rFonts w:hint="eastAsia" w:ascii="仿宋_GB2312" w:hAnsi="仿宋_GB2312" w:eastAsia="仿宋_GB2312" w:cs="仿宋_GB2312"/>
          <w:color w:val="auto"/>
          <w:sz w:val="32"/>
          <w:szCs w:val="32"/>
          <w:lang w:val="en-US" w:eastAsia="zh-CN"/>
        </w:rPr>
        <w:t>管控规则</w:t>
      </w:r>
      <w:r>
        <w:rPr>
          <w:rFonts w:hint="eastAsia" w:ascii="仿宋_GB2312" w:hAnsi="仿宋_GB2312" w:eastAsia="仿宋_GB2312" w:cs="仿宋_GB2312"/>
          <w:color w:val="auto"/>
          <w:sz w:val="32"/>
          <w:szCs w:val="32"/>
        </w:rPr>
        <w:t>等，不断提升全省社会保险经办服务能力、基金风险防控能力，将更多人纳入全省社会保障体系，为广大人民群众提供更可靠、更充分、更安全的保障，不断满足人民群众多层次多样化需求，健全覆盖全民、统筹城乡、公平统一、可持续的多层次社会保障体系，进一步织密社会保险安全网，促进全省社会保险事业高质量可持续发展。</w:t>
      </w:r>
    </w:p>
    <w:p w14:paraId="1D5FE0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按人社部《</w:t>
      </w:r>
      <w:r>
        <w:rPr>
          <w:rFonts w:hint="eastAsia" w:cs="仿宋_GB2312"/>
          <w:color w:val="auto"/>
          <w:sz w:val="32"/>
          <w:szCs w:val="32"/>
          <w:lang w:eastAsia="zh-CN"/>
        </w:rPr>
        <w:t>人力资源社会保障部</w:t>
      </w:r>
      <w:r>
        <w:rPr>
          <w:rFonts w:hint="eastAsia" w:ascii="仿宋_GB2312" w:hAnsi="仿宋_GB2312" w:eastAsia="仿宋_GB2312" w:cs="仿宋_GB2312"/>
          <w:color w:val="auto"/>
          <w:sz w:val="32"/>
          <w:szCs w:val="32"/>
        </w:rPr>
        <w:t>关于开展社会保险全险种业务管控信息化建设工作的通知》（人社部函〔2025〕25号）要求，2027年6月底前，需在全省范围全面建立涵盖企业职工养老保险、机关事业单位养老保险、城乡居民养老保险、失业保险、工伤保险的社会保险全险种业务“大管控”体系。贵州省社会保险业务系统全面改造并接入部级全国社会保险业务管控信息平台，同步接入全国统一的社会保险公共服务平台和大数据管理平台。</w:t>
      </w:r>
    </w:p>
    <w:p w14:paraId="5671D924">
      <w:pPr>
        <w:pStyle w:val="13"/>
        <w:ind w:left="0" w:leftChars="0" w:firstLine="640" w:firstLineChars="200"/>
        <w:rPr>
          <w:rFonts w:ascii="仿宋" w:hAnsi="仿宋" w:eastAsia="仿宋"/>
          <w:sz w:val="32"/>
          <w:szCs w:val="32"/>
        </w:rPr>
      </w:pPr>
      <w:r>
        <w:rPr>
          <w:rFonts w:hint="eastAsia" w:ascii="仿宋" w:hAnsi="仿宋" w:eastAsia="仿宋"/>
          <w:sz w:val="32"/>
          <w:szCs w:val="32"/>
        </w:rPr>
        <w:t>以部金保二期社会保险基金监管系统为基础，开展贵州省金保二期社会保险基金监管系统本地化应用项目建设，完善省、地（州、市）、县（市、区）三级的社保基金监管协同管理体系，实现综合评估、风险管控、监督管理等功能，为社会保险基金安全综合治理提供数据支撑。基于大数据技术，建立常态化疑点数据筛查核查机制。健全业务规则，建立风控模型，优化系统风控预警功能。依托业务数据，建立社保和其他险种等部门、贵州省联动管控机制，逐步实现对关键业务环节和高风险业务的精准管控。依托</w:t>
      </w:r>
      <w:r>
        <w:rPr>
          <w:rFonts w:hint="eastAsia" w:ascii="仿宋" w:hAnsi="仿宋" w:eastAsia="仿宋"/>
          <w:sz w:val="32"/>
          <w:szCs w:val="32"/>
          <w:lang w:eastAsia="zh-CN"/>
        </w:rPr>
        <w:t>社会保险</w:t>
      </w:r>
      <w:r>
        <w:rPr>
          <w:rFonts w:hint="eastAsia" w:ascii="仿宋" w:hAnsi="仿宋" w:eastAsia="仿宋"/>
          <w:sz w:val="32"/>
          <w:szCs w:val="32"/>
        </w:rPr>
        <w:t>基金监管信息化，全面推行</w:t>
      </w:r>
      <w:r>
        <w:rPr>
          <w:rFonts w:hint="eastAsia" w:ascii="仿宋" w:hAnsi="仿宋" w:eastAsia="仿宋"/>
          <w:sz w:val="32"/>
          <w:szCs w:val="32"/>
          <w:lang w:eastAsia="zh-CN"/>
        </w:rPr>
        <w:t>社会保险</w:t>
      </w:r>
      <w:r>
        <w:rPr>
          <w:rFonts w:hint="eastAsia" w:ascii="仿宋" w:hAnsi="仿宋" w:eastAsia="仿宋"/>
          <w:sz w:val="32"/>
          <w:szCs w:val="32"/>
        </w:rPr>
        <w:t>基金监督检查和举报管理机制数字化改革，推进理念重塑、制度重构、流程再造，深化一体化、发展数字化、迈向智能化，优化数字监督检查和举报管理业务流程，加强数字新就业形态劳动权益保障，实现一体化监督、精准化奖惩、智能化监管、科学化决策、生态化发展，引领和支撑贵州省社会保险基金事业高质量发展。</w:t>
      </w:r>
    </w:p>
    <w:p w14:paraId="4A7604E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深入推进社会保险信息系统整合，按照社保一体化平台建设要求，将原有劳动认定鉴定系统与</w:t>
      </w:r>
      <w:r>
        <w:rPr>
          <w:rFonts w:hint="eastAsia" w:ascii="仿宋_GB2312" w:hAnsi="仿宋_GB2312" w:eastAsia="仿宋_GB2312" w:cs="仿宋_GB2312"/>
          <w:color w:val="000000" w:themeColor="text1"/>
          <w:sz w:val="32"/>
          <w:szCs w:val="32"/>
          <w:highlight w:val="none"/>
          <w14:textFill>
            <w14:solidFill>
              <w14:schemeClr w14:val="tx1"/>
            </w14:solidFill>
          </w14:textFill>
        </w:rPr>
        <w:t>贵州省三险合一社会保险信息系统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实现融合</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调整优化部分功能和规则，新增</w:t>
      </w:r>
      <w:r>
        <w:rPr>
          <w:rFonts w:hint="eastAsia" w:ascii="仿宋_GB2312" w:hAnsi="仿宋_GB2312" w:eastAsia="仿宋_GB2312" w:cs="仿宋_GB2312"/>
          <w:color w:val="000000" w:themeColor="text1"/>
          <w:sz w:val="32"/>
          <w:szCs w:val="32"/>
          <w:highlight w:val="none"/>
          <w14:textFill>
            <w14:solidFill>
              <w14:schemeClr w14:val="tx1"/>
            </w14:solidFill>
          </w14:textFill>
        </w:rPr>
        <w:t>贵州省</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新就业形态就业</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人员职业伤害保障信息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模块，</w:t>
      </w:r>
      <w:r>
        <w:rPr>
          <w:rFonts w:hint="eastAsia" w:ascii="仿宋_GB2312" w:hAnsi="仿宋_GB2312" w:eastAsia="仿宋_GB2312" w:cs="仿宋_GB2312"/>
          <w:color w:val="000000" w:themeColor="text1"/>
          <w:sz w:val="32"/>
          <w:szCs w:val="32"/>
          <w:highlight w:val="none"/>
          <w14:textFill>
            <w14:solidFill>
              <w14:schemeClr w14:val="tx1"/>
            </w14:solidFill>
          </w14:textFill>
        </w:rPr>
        <w:t>实现与全国信息平台的“总对总”对接，根据全国信息平台统一规范实现数据同步共享，实现贵州省三险合一社会保险信息系统</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新就业形态</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人员职业伤害保障业务的办理。完善社税平台，满足</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新就业形态</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人员信息能够推送至税务，工伤保险费能在税务进行缴纳。完善工伤联网结算平台，实现</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新就业形态</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员能够在工伤协议医疗机构进行工伤医疗费联网即时结算、工伤医疗康复协议机构进行工伤康复费联网即时结算，工伤辅助器具配置协议机构进行工伤辅助器具配置费联网即时结算。完善贵州人社公共服务平台，面向</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新就业形态</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14:textFill>
            <w14:solidFill>
              <w14:schemeClr w14:val="tx1"/>
            </w14:solidFill>
          </w14:textFill>
        </w:rPr>
        <w:t>员提供线上查询办理等“一网通办”服务。</w:t>
      </w:r>
    </w:p>
    <w:p w14:paraId="2C1FBCF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cs="仿宋_GB2312"/>
          <w:color w:val="auto"/>
          <w:sz w:val="32"/>
          <w:szCs w:val="32"/>
          <w:lang w:eastAsia="zh-CN"/>
        </w:rPr>
        <w:t>升级优化</w:t>
      </w:r>
      <w:r>
        <w:rPr>
          <w:rFonts w:hint="eastAsia" w:ascii="仿宋_GB2312" w:hAnsi="仿宋_GB2312" w:eastAsia="仿宋_GB2312" w:cs="仿宋_GB2312"/>
          <w:color w:val="auto"/>
          <w:sz w:val="32"/>
          <w:szCs w:val="32"/>
        </w:rPr>
        <w:t>全省社会保险信息系统基础</w:t>
      </w:r>
      <w:r>
        <w:rPr>
          <w:rFonts w:hint="eastAsia" w:cs="仿宋_GB2312"/>
          <w:color w:val="auto"/>
          <w:sz w:val="32"/>
          <w:szCs w:val="32"/>
          <w:lang w:eastAsia="zh-CN"/>
        </w:rPr>
        <w:t>资源配置，</w:t>
      </w:r>
      <w:r>
        <w:rPr>
          <w:rFonts w:hint="eastAsia" w:ascii="仿宋_GB2312" w:hAnsi="仿宋_GB2312" w:eastAsia="仿宋_GB2312" w:cs="仿宋_GB2312"/>
          <w:color w:val="auto"/>
          <w:sz w:val="32"/>
          <w:szCs w:val="32"/>
        </w:rPr>
        <w:t>全面</w:t>
      </w:r>
      <w:r>
        <w:rPr>
          <w:rFonts w:hint="eastAsia" w:cs="仿宋_GB2312"/>
          <w:color w:val="auto"/>
          <w:sz w:val="32"/>
          <w:szCs w:val="32"/>
          <w:lang w:eastAsia="zh-CN"/>
        </w:rPr>
        <w:t>完成</w:t>
      </w:r>
      <w:r>
        <w:rPr>
          <w:rFonts w:hint="eastAsia" w:ascii="仿宋_GB2312" w:hAnsi="仿宋_GB2312" w:eastAsia="仿宋_GB2312" w:cs="仿宋_GB2312"/>
          <w:color w:val="auto"/>
          <w:sz w:val="32"/>
          <w:szCs w:val="32"/>
        </w:rPr>
        <w:t>国产化</w:t>
      </w:r>
      <w:r>
        <w:rPr>
          <w:rFonts w:hint="eastAsia" w:cs="仿宋_GB2312"/>
          <w:color w:val="auto"/>
          <w:sz w:val="32"/>
          <w:szCs w:val="32"/>
          <w:lang w:val="en-US" w:eastAsia="zh-CN"/>
        </w:rPr>
        <w:t>改造和迁移至贵州省政务云</w:t>
      </w:r>
      <w:r>
        <w:rPr>
          <w:rFonts w:hint="eastAsia" w:ascii="仿宋_GB2312" w:hAnsi="仿宋_GB2312" w:eastAsia="仿宋_GB2312" w:cs="仿宋_GB2312"/>
          <w:color w:val="auto"/>
          <w:sz w:val="32"/>
          <w:szCs w:val="32"/>
        </w:rPr>
        <w:t>，</w:t>
      </w:r>
      <w:r>
        <w:rPr>
          <w:rFonts w:hint="eastAsia" w:cs="仿宋_GB2312"/>
          <w:color w:val="auto"/>
          <w:sz w:val="32"/>
          <w:szCs w:val="32"/>
          <w:lang w:eastAsia="zh-CN"/>
        </w:rPr>
        <w:t>在保障系统平稳运行和提供优质服务的基础上，优化设备资源配置，</w:t>
      </w:r>
      <w:r>
        <w:rPr>
          <w:rFonts w:hint="eastAsia" w:ascii="仿宋_GB2312" w:hAnsi="仿宋_GB2312" w:eastAsia="仿宋_GB2312" w:cs="仿宋_GB2312"/>
          <w:color w:val="auto"/>
          <w:sz w:val="32"/>
          <w:szCs w:val="32"/>
        </w:rPr>
        <w:t>实现信息技术自主可控，保障全省社会保险系统信息安全。</w:t>
      </w:r>
    </w:p>
    <w:p w14:paraId="377E40A0">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rPr>
      </w:pPr>
      <w:r>
        <w:rPr>
          <w:rFonts w:hint="eastAsia"/>
        </w:rPr>
        <w:t>业务需求</w:t>
      </w:r>
    </w:p>
    <w:p w14:paraId="3BE23DC2">
      <w:pPr>
        <w:pStyle w:val="6"/>
        <w:numPr>
          <w:ilvl w:val="-1"/>
          <w:numId w:val="0"/>
        </w:numPr>
        <w:bidi w:val="0"/>
        <w:ind w:firstLine="643" w:firstLineChars="200"/>
        <w:rPr>
          <w:rFonts w:hint="eastAsia"/>
          <w:lang w:val="en-US" w:eastAsia="zh-CN"/>
        </w:rPr>
      </w:pPr>
      <w:r>
        <w:rPr>
          <w:rFonts w:hint="eastAsia"/>
          <w:lang w:val="en-US" w:eastAsia="zh-CN"/>
        </w:rPr>
        <w:t>1.社保全险种业务“大管控”体系建设功能改造</w:t>
      </w:r>
    </w:p>
    <w:p w14:paraId="445FEF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借鉴企业职工基本养老保险业务“大管控”实现思路，以全国标准统一、数据实时同步、部省两级联动、风险有效管控为总体要求，遵循人社部最新制定的社会保险全险种业务中台数据结构、原子业务清单和数据处理逻辑、风险管控规则等全国统一标准规范，依托部级下发的</w:t>
      </w:r>
      <w:r>
        <w:rPr>
          <w:rFonts w:hint="eastAsia" w:cs="仿宋_GB2312"/>
          <w:color w:val="auto"/>
          <w:kern w:val="2"/>
          <w:sz w:val="32"/>
          <w:szCs w:val="32"/>
          <w:lang w:val="en-US" w:eastAsia="zh-CN"/>
        </w:rPr>
        <w:t>新版</w:t>
      </w:r>
      <w:r>
        <w:rPr>
          <w:rFonts w:hint="default" w:ascii="仿宋_GB2312" w:hAnsi="仿宋_GB2312" w:eastAsia="仿宋_GB2312" w:cs="仿宋_GB2312"/>
          <w:color w:val="auto"/>
          <w:kern w:val="2"/>
          <w:sz w:val="32"/>
          <w:szCs w:val="32"/>
          <w:lang w:val="en-US" w:eastAsia="zh-CN"/>
        </w:rPr>
        <w:t>全险种业务中台，升级改造贵州省社会保险信息系统，</w:t>
      </w:r>
      <w:r>
        <w:rPr>
          <w:rFonts w:hint="default" w:ascii="仿宋_GB2312" w:hAnsi="仿宋_GB2312" w:eastAsia="仿宋_GB2312" w:cs="仿宋_GB2312"/>
          <w:b/>
          <w:bCs/>
          <w:color w:val="auto"/>
          <w:kern w:val="2"/>
          <w:sz w:val="32"/>
          <w:szCs w:val="32"/>
          <w:lang w:val="en-US" w:eastAsia="zh-CN"/>
        </w:rPr>
        <w:t>将</w:t>
      </w:r>
      <w:r>
        <w:rPr>
          <w:rFonts w:hint="eastAsia" w:ascii="仿宋_GB2312" w:hAnsi="仿宋_GB2312" w:eastAsia="仿宋_GB2312" w:cs="仿宋_GB2312"/>
          <w:b/>
          <w:bCs/>
          <w:color w:val="auto"/>
          <w:kern w:val="2"/>
          <w:sz w:val="32"/>
          <w:szCs w:val="32"/>
          <w:lang w:val="en-US" w:eastAsia="zh-CN"/>
        </w:rPr>
        <w:t>我省暂未实现全业务大管控改造的</w:t>
      </w:r>
      <w:r>
        <w:rPr>
          <w:rFonts w:hint="default" w:ascii="仿宋_GB2312" w:hAnsi="仿宋_GB2312" w:eastAsia="仿宋_GB2312" w:cs="仿宋_GB2312"/>
          <w:b/>
          <w:bCs/>
          <w:color w:val="auto"/>
          <w:kern w:val="2"/>
          <w:sz w:val="32"/>
          <w:szCs w:val="32"/>
          <w:lang w:val="en-US" w:eastAsia="zh-CN"/>
        </w:rPr>
        <w:t>失业保险、工伤保险、城乡居民基本养老保险、机关事业单位养老保险（含职业年金）纳入“大管控”</w:t>
      </w:r>
      <w:r>
        <w:rPr>
          <w:rFonts w:hint="eastAsia" w:ascii="仿宋_GB2312" w:hAnsi="仿宋_GB2312" w:eastAsia="仿宋_GB2312" w:cs="仿宋_GB2312"/>
          <w:b/>
          <w:bCs/>
          <w:color w:val="auto"/>
          <w:kern w:val="2"/>
          <w:sz w:val="32"/>
          <w:szCs w:val="32"/>
          <w:lang w:val="en-US" w:eastAsia="zh-CN"/>
        </w:rPr>
        <w:t>体系</w:t>
      </w:r>
      <w:r>
        <w:rPr>
          <w:rFonts w:hint="default" w:ascii="仿宋_GB2312" w:hAnsi="仿宋_GB2312" w:eastAsia="仿宋_GB2312" w:cs="仿宋_GB2312"/>
          <w:color w:val="auto"/>
          <w:kern w:val="2"/>
          <w:sz w:val="32"/>
          <w:szCs w:val="32"/>
          <w:lang w:val="en-US" w:eastAsia="zh-CN"/>
        </w:rPr>
        <w:t>，实现部省联动集中统一管控，有力推动社会保险体系的完善与升级，促进构建更加公平、可持续的社会保障体系。</w:t>
      </w:r>
      <w:r>
        <w:rPr>
          <w:rFonts w:hint="eastAsia" w:ascii="仿宋_GB2312" w:hAnsi="仿宋_GB2312" w:eastAsia="仿宋_GB2312" w:cs="仿宋_GB2312"/>
          <w:color w:val="auto"/>
          <w:kern w:val="2"/>
          <w:sz w:val="32"/>
          <w:szCs w:val="32"/>
          <w:lang w:val="en-US" w:eastAsia="zh-CN"/>
        </w:rPr>
        <w:t>主要工作内容分为以下几部分：</w:t>
      </w:r>
    </w:p>
    <w:p w14:paraId="08B5CB5B">
      <w:pPr>
        <w:pStyle w:val="7"/>
        <w:rPr>
          <w:rFonts w:hint="eastAsia"/>
          <w:lang w:val="en-US" w:eastAsia="zh-CN"/>
        </w:rPr>
      </w:pPr>
      <w:r>
        <w:rPr>
          <w:rFonts w:hint="eastAsia"/>
          <w:lang w:val="en-US" w:eastAsia="zh-CN"/>
        </w:rPr>
        <w:t>改造省级集中社会保险业务系统</w:t>
      </w:r>
    </w:p>
    <w:p w14:paraId="6F0E60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2021年，根据企业职工基本养老保险全国统筹及贵州省人社信息化建设的相关需求，完成了贵州省社会保险三险合一信息系统</w:t>
      </w:r>
      <w:r>
        <w:rPr>
          <w:rFonts w:hint="eastAsia"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US" w:eastAsia="zh-CN"/>
        </w:rPr>
        <w:t>企业职工养老保险对应系统改造。</w:t>
      </w:r>
      <w:r>
        <w:rPr>
          <w:rFonts w:hint="eastAsia" w:cs="仿宋_GB2312"/>
          <w:color w:val="auto"/>
          <w:kern w:val="2"/>
          <w:sz w:val="32"/>
          <w:szCs w:val="32"/>
          <w:lang w:val="en-US" w:eastAsia="zh-CN"/>
        </w:rPr>
        <w:t>实现了城镇职工养老保险纳入全国统一的“大管控”体系，实现了业务的实时协同办理，数据实时核验。</w:t>
      </w:r>
    </w:p>
    <w:p w14:paraId="744064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根据《</w:t>
      </w:r>
      <w:r>
        <w:rPr>
          <w:rFonts w:hint="eastAsia" w:cs="仿宋_GB2312"/>
          <w:color w:val="auto"/>
          <w:kern w:val="2"/>
          <w:sz w:val="32"/>
          <w:szCs w:val="32"/>
          <w:lang w:val="en-US" w:eastAsia="zh-CN"/>
        </w:rPr>
        <w:t>人力资源社会保障部</w:t>
      </w:r>
      <w:r>
        <w:rPr>
          <w:rFonts w:hint="eastAsia" w:ascii="仿宋_GB2312" w:hAnsi="仿宋_GB2312" w:eastAsia="仿宋_GB2312" w:cs="仿宋_GB2312"/>
          <w:color w:val="auto"/>
          <w:kern w:val="2"/>
          <w:sz w:val="32"/>
          <w:szCs w:val="32"/>
          <w:lang w:val="en-US" w:eastAsia="zh-CN"/>
        </w:rPr>
        <w:t>关于开展社会保险全险种业务管控信息化建设工作的通知》（人社部函〔2025〕25号）要求，将我省暂未实现全业务大管控改造的失业保险、工伤保险、城乡居民基本养老保险、机关事业单位养老保险纳入“大管控”体系。</w:t>
      </w:r>
      <w:r>
        <w:rPr>
          <w:rFonts w:hint="eastAsia" w:cs="仿宋_GB2312"/>
          <w:color w:val="auto"/>
          <w:kern w:val="2"/>
          <w:sz w:val="32"/>
          <w:szCs w:val="32"/>
          <w:lang w:val="en-US" w:eastAsia="zh-CN"/>
        </w:rPr>
        <w:t>对涉及</w:t>
      </w:r>
      <w:bookmarkStart w:id="8" w:name="_GoBack"/>
      <w:bookmarkEnd w:id="8"/>
      <w:r>
        <w:rPr>
          <w:rFonts w:hint="eastAsia" w:cs="仿宋_GB2312"/>
          <w:color w:val="auto"/>
          <w:kern w:val="2"/>
          <w:sz w:val="32"/>
          <w:szCs w:val="32"/>
          <w:lang w:val="en-US" w:eastAsia="zh-CN"/>
        </w:rPr>
        <w:t>的经办、财务、网厅等系统进行相应功能的升级改造。</w:t>
      </w:r>
    </w:p>
    <w:p w14:paraId="5FCABBCF">
      <w:pPr>
        <w:pStyle w:val="8"/>
        <w:rPr>
          <w:rFonts w:hint="default"/>
          <w:lang w:val="en-US" w:eastAsia="zh-CN"/>
        </w:rPr>
      </w:pPr>
      <w:r>
        <w:rPr>
          <w:rFonts w:hint="default"/>
          <w:lang w:val="en-US" w:eastAsia="zh-CN"/>
        </w:rPr>
        <w:t>贵州省社会保险三险合一信息系统（含居民养老、工伤、失业）改造</w:t>
      </w:r>
    </w:p>
    <w:p w14:paraId="6BBF21A4">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改造主要涉及村居管理、乡镇（街道）管理、特殊身份管理、工程建设项目管理、失业保险关系转移、城乡居民养老保险参保登记、城乡居民养老保险缴费管理、财政资金申请、集体补助管理、工伤保险费率浮动管理、工伤伤残待遇核发管理、工伤辅助器具待遇核发管理、工伤供养亲属待遇核发管理、工伤医疗待遇核实管理、工伤康复待遇核发管理、工伤先行支付待遇核发管理、工伤三目录管理、工伤病种信息管理、工伤协议机构管理、工伤辅助器具管理、工伤异地就医备案信息管理、工伤医疗费中心手工报销管理、工伤联网结算管理、工伤机构预防费标准信息管理、工伤预防费项目管理、工伤预防费待遇核发管理、失业临时价格补贴核发管理、自主创业一次性待遇核发管理、失业待遇核发管理、失业一次性待遇核发管理、技能提升补贴待遇核发管理、失业代缴医疗核发管理、大龄领金人员代缴养老保险待遇核发管理、稳岗返还待遇核发管理、一次性扩岗补助核发管理、一次性留工补助核发管理等功能进行改造。</w:t>
      </w:r>
    </w:p>
    <w:p w14:paraId="3797E812">
      <w:pPr>
        <w:pStyle w:val="8"/>
        <w:rPr>
          <w:rFonts w:hint="default"/>
          <w:lang w:val="en-US" w:eastAsia="zh-CN"/>
        </w:rPr>
      </w:pPr>
      <w:r>
        <w:rPr>
          <w:rFonts w:hint="eastAsia"/>
          <w:lang w:val="en-US" w:eastAsia="zh-CN"/>
        </w:rPr>
        <w:t>贵州省机关保及职业年金系统改造</w:t>
      </w:r>
    </w:p>
    <w:p w14:paraId="5D8108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改造主要涉及内容为查询分析管理升级、接口统一部署、公共业务升级、养老待遇管理、职业年金管理、省部报表、关系转移、改革前试点缴费、转保留人员待遇核定、公共服务接口及数据共享等功能改造。</w:t>
      </w:r>
    </w:p>
    <w:p w14:paraId="59C4C06F">
      <w:pPr>
        <w:pStyle w:val="8"/>
        <w:rPr>
          <w:rFonts w:hint="default"/>
          <w:lang w:val="en-US" w:eastAsia="zh-CN"/>
        </w:rPr>
      </w:pPr>
      <w:r>
        <w:rPr>
          <w:rFonts w:hint="eastAsia"/>
          <w:lang w:val="en-US" w:eastAsia="zh-CN"/>
        </w:rPr>
        <w:t>贵州省</w:t>
      </w:r>
      <w:r>
        <w:rPr>
          <w:rFonts w:hint="default"/>
          <w:lang w:val="en-US" w:eastAsia="zh-CN"/>
        </w:rPr>
        <w:t>社会保险</w:t>
      </w:r>
      <w:r>
        <w:rPr>
          <w:rFonts w:hint="eastAsia"/>
          <w:lang w:val="en-US" w:eastAsia="zh-CN"/>
        </w:rPr>
        <w:t>网上服务系统纳入大管控应用改造</w:t>
      </w:r>
    </w:p>
    <w:p w14:paraId="6B385C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涉及网厅系统中企业保网厅、机关保网厅两个子系统的业务功能融合、运维系统的功能改造、整体数据迁移、系统国密改造、国产化环境适配、集成测试、上线部署等。实现网厅系统的统一登录，统一业务办理。</w:t>
      </w:r>
    </w:p>
    <w:p w14:paraId="3D9B0D47">
      <w:pPr>
        <w:pStyle w:val="8"/>
        <w:rPr>
          <w:rFonts w:hint="default"/>
          <w:lang w:val="en-US" w:eastAsia="zh-CN"/>
        </w:rPr>
      </w:pPr>
      <w:r>
        <w:rPr>
          <w:rFonts w:hint="eastAsia"/>
          <w:lang w:val="en-US" w:eastAsia="zh-CN"/>
        </w:rPr>
        <w:t>贵州省社保基金财务管理系统改造</w:t>
      </w:r>
    </w:p>
    <w:p w14:paraId="2D69C5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改造内容包括系统设置、数据接入、单据定义、转换模板、单据记账、凭证回写功能、定时自动凭证生成功能、财务凭证与业务数据差异校验功能、适配基金财务中心、收入管理、支出管理、账务处理等。</w:t>
      </w:r>
    </w:p>
    <w:p w14:paraId="74F921C7">
      <w:pPr>
        <w:pStyle w:val="7"/>
        <w:bidi w:val="0"/>
        <w:rPr>
          <w:rFonts w:hint="eastAsia"/>
          <w:lang w:val="en-US" w:eastAsia="zh-CN"/>
        </w:rPr>
      </w:pPr>
      <w:r>
        <w:rPr>
          <w:rFonts w:hint="eastAsia"/>
          <w:lang w:val="en-US" w:eastAsia="zh-CN"/>
        </w:rPr>
        <w:t>对接部下发新版中台各业务中心</w:t>
      </w:r>
    </w:p>
    <w:p w14:paraId="46C1CF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人社部制定的最新社会保险全险种业务中台数据结构、原子业务清单和数据处理逻辑、风险管控规则等标准规范，部署对接人社部下发的最新社保全险种业务中台，包括基础信息中心、登记变更中心、征收缴费中心、关系转移中心、待遇核发中心、失业补贴中心、工伤认定鉴定中心、工伤医疗管理中心、工伤预防管理中心、金融支付中心、基金财务中心、政策参数中心、业务事项中心、电子材料中心、风控预警中心共15个中心。</w:t>
      </w:r>
    </w:p>
    <w:p w14:paraId="347AD272">
      <w:pPr>
        <w:ind w:firstLine="640" w:firstLineChars="200"/>
        <w:rPr>
          <w:rFonts w:hint="default"/>
          <w:lang w:val="en-US" w:eastAsia="zh-CN"/>
        </w:rPr>
      </w:pPr>
      <w:r>
        <w:rPr>
          <w:rFonts w:hint="eastAsia" w:ascii="仿宋_GB2312" w:hAnsi="仿宋_GB2312" w:eastAsia="仿宋_GB2312" w:cs="仿宋_GB2312"/>
          <w:b w:val="0"/>
          <w:bCs w:val="0"/>
          <w:color w:val="auto"/>
          <w:sz w:val="32"/>
          <w:szCs w:val="32"/>
          <w:lang w:val="en-US" w:eastAsia="zh-CN"/>
        </w:rPr>
        <w:t>更新完善业务中心的需求如下：</w:t>
      </w:r>
    </w:p>
    <w:p w14:paraId="27414549">
      <w:pPr>
        <w:pStyle w:val="8"/>
        <w:numPr>
          <w:ilvl w:val="-1"/>
          <w:numId w:val="0"/>
        </w:numPr>
        <w:ind w:firstLine="643" w:firstLineChars="200"/>
        <w:rPr>
          <w:rFonts w:hint="default"/>
          <w:lang w:val="en-US" w:eastAsia="zh-CN"/>
        </w:rPr>
      </w:pPr>
      <w:r>
        <w:rPr>
          <w:rFonts w:hint="eastAsia"/>
          <w:lang w:val="en-US" w:eastAsia="zh-CN"/>
        </w:rPr>
        <w:t>a.</w:t>
      </w:r>
      <w:r>
        <w:rPr>
          <w:rFonts w:hint="default"/>
          <w:lang w:val="en-US" w:eastAsia="zh-CN"/>
        </w:rPr>
        <w:t>对接登记变更中心</w:t>
      </w:r>
    </w:p>
    <w:p w14:paraId="2F0C47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根据部级业务中台登记变更中心相关技术标准规范，改造现有的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部级下发的社区或村表（AF02）、街道乡镇表（AF08）、特殊人员信息表（AC10）、工程项目信息表（AB58）、工程项目变更事件表（AE15）、工程项目变更明细表（AE16）、工程项目人员备案事件表（AC88）及工程项目人员备案信息表（AC89）内嵌至贵州省业务经办生产库，在此之后将通过部级下发业务中台所提供服务进行数据操作。以实现对城乡居民养老保险相关的街道乡镇、社区村信息进行管理，实现对工伤保险相关的工程项目及工程项目人员备案进行管理。</w:t>
      </w:r>
    </w:p>
    <w:p w14:paraId="61E886AA">
      <w:pPr>
        <w:pStyle w:val="8"/>
        <w:numPr>
          <w:ilvl w:val="-1"/>
          <w:numId w:val="0"/>
        </w:numPr>
        <w:bidi w:val="0"/>
        <w:ind w:firstLine="643" w:firstLineChars="200"/>
        <w:rPr>
          <w:rFonts w:hint="default"/>
          <w:lang w:val="en-US" w:eastAsia="zh-CN"/>
        </w:rPr>
      </w:pPr>
      <w:r>
        <w:rPr>
          <w:rFonts w:hint="eastAsia"/>
          <w:lang w:val="en-US" w:eastAsia="zh-CN"/>
        </w:rPr>
        <w:t>b.</w:t>
      </w:r>
      <w:r>
        <w:rPr>
          <w:rFonts w:hint="default"/>
          <w:lang w:val="en-US" w:eastAsia="zh-CN"/>
        </w:rPr>
        <w:t>接征收缴费中心</w:t>
      </w:r>
    </w:p>
    <w:p w14:paraId="3D59A84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征收缴费中心相关技术标准规范，改造现有的贵州省社会保险信息系统，将部级下发的城乡居保人员征缴明细表（AC27）、城乡居保人员实收明细表（AC09）、城乡居保个人账户表（AC11）、城乡居保人员账户年度台账表（AC12）、失业保险核定缴费明细表（AC59）及工伤浮动费率信息表（AA55）内嵌至贵州省业务经办生产库，在此之后将通过部级下发业务中台所提供服务进行数据操作。以实现对城乡居民养老保险、失业保险及工伤保险的缴费进行管理。</w:t>
      </w:r>
    </w:p>
    <w:p w14:paraId="758B4FC7">
      <w:pPr>
        <w:pStyle w:val="8"/>
        <w:numPr>
          <w:ilvl w:val="-1"/>
          <w:numId w:val="0"/>
        </w:numPr>
        <w:bidi w:val="0"/>
        <w:ind w:firstLine="643" w:firstLineChars="200"/>
        <w:rPr>
          <w:rFonts w:hint="default"/>
          <w:lang w:val="en-US" w:eastAsia="zh-CN"/>
        </w:rPr>
      </w:pPr>
      <w:r>
        <w:rPr>
          <w:rFonts w:hint="eastAsia"/>
          <w:lang w:val="en-US" w:eastAsia="zh-CN"/>
        </w:rPr>
        <w:t>c.</w:t>
      </w:r>
      <w:r>
        <w:rPr>
          <w:rFonts w:hint="default"/>
          <w:lang w:val="en-US" w:eastAsia="zh-CN"/>
        </w:rPr>
        <w:t>对接关系转移中心</w:t>
      </w:r>
    </w:p>
    <w:p w14:paraId="0F5FFB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关系转移中心相关技术标准规范，改造现有的贵州省社会保险信息系统，将部级下发的失业保险关系网上转移申请信息表（JC87）、失业保险关系转移网上申请审核结果反馈信息表（JC88）、失业保险关系转移接续联系函信息表（JC89）、失业保险参保人员基本信息及失业保险基金转移信息表（JC90）、失业保险参保人员历年缴费记账信息表（JC91）内嵌至贵州省业务经办生产库，在此之后将通过部级下发业务中台所提供服务进行数据操作。以实现对失业保险关系转移进行管理。</w:t>
      </w:r>
    </w:p>
    <w:p w14:paraId="08C2170C">
      <w:pPr>
        <w:pStyle w:val="8"/>
        <w:numPr>
          <w:ilvl w:val="-1"/>
          <w:numId w:val="0"/>
        </w:numPr>
        <w:bidi w:val="0"/>
        <w:ind w:firstLine="643" w:firstLineChars="200"/>
        <w:rPr>
          <w:rFonts w:hint="default"/>
          <w:lang w:val="en-US" w:eastAsia="zh-CN"/>
        </w:rPr>
      </w:pPr>
      <w:r>
        <w:rPr>
          <w:rFonts w:hint="eastAsia"/>
          <w:lang w:val="en-US" w:eastAsia="zh-CN"/>
        </w:rPr>
        <w:t>d.</w:t>
      </w:r>
      <w:r>
        <w:rPr>
          <w:rFonts w:hint="default"/>
          <w:lang w:val="en-US" w:eastAsia="zh-CN"/>
        </w:rPr>
        <w:t>对接待遇核发中心</w:t>
      </w:r>
    </w:p>
    <w:p w14:paraId="703002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待遇核发中心相关技术标准规范，改造现有的贵州省社会保险信息系统，将部级下发的机关事业单位工作人员退休信息表（IC11）、失业待遇享受人员表（JC10）、技能提升补贴人员明细表（JC11）、失业代缴医保（含生育）人员信息表（JC12）、失业代缴医保（含生育）缴费信息表（JC13）、工伤待遇享受人员表（LC01）、工伤申报表（LC30）、工伤医疗（康复及辅助器具配置）费手工报销汇总表（LC41）、工伤医疗（康复及辅助器具配置）费手工报销明细表（LC42）内嵌至贵州省业务经办生产库，在此之后将通过部级下发业务中台所提供服务进行数据操作。以实现对机关事业单位养老保险、失业保险及工伤保险的待遇信息进行管理。</w:t>
      </w:r>
    </w:p>
    <w:p w14:paraId="268E42DF">
      <w:pPr>
        <w:pStyle w:val="8"/>
        <w:numPr>
          <w:ilvl w:val="-1"/>
          <w:numId w:val="0"/>
        </w:numPr>
        <w:bidi w:val="0"/>
        <w:ind w:firstLine="643" w:firstLineChars="200"/>
        <w:rPr>
          <w:rFonts w:hint="default"/>
          <w:lang w:val="en-US" w:eastAsia="zh-CN"/>
        </w:rPr>
      </w:pPr>
      <w:r>
        <w:rPr>
          <w:rFonts w:hint="eastAsia"/>
          <w:lang w:val="en-US" w:eastAsia="zh-CN"/>
        </w:rPr>
        <w:t>e.</w:t>
      </w:r>
      <w:r>
        <w:rPr>
          <w:rFonts w:hint="default"/>
          <w:lang w:val="en-US" w:eastAsia="zh-CN"/>
        </w:rPr>
        <w:t>对接政策参数中心</w:t>
      </w:r>
    </w:p>
    <w:p w14:paraId="62DFA5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政策参数中心相关技术标准规范，改造现有的贵州省社会保险信息系统，将部级下发的工伤基准费率参数表（AA54）、失业保险待遇金额标准参数表（JA01）及失业保险金享受期限标准参数表（JA02）内嵌至贵州省业务经办生产库，在此之后将通过部级下发业务中台所提供服务进行数据操作。以实现对工伤保险基准费率及失业保险待遇享受标准进行管理。</w:t>
      </w:r>
    </w:p>
    <w:p w14:paraId="0247BE77">
      <w:pPr>
        <w:pStyle w:val="8"/>
        <w:numPr>
          <w:ilvl w:val="-1"/>
          <w:numId w:val="0"/>
        </w:numPr>
        <w:bidi w:val="0"/>
        <w:ind w:firstLine="643" w:firstLineChars="200"/>
        <w:rPr>
          <w:rFonts w:hint="default"/>
          <w:lang w:val="en-US" w:eastAsia="zh-CN"/>
        </w:rPr>
      </w:pPr>
      <w:r>
        <w:rPr>
          <w:rFonts w:hint="eastAsia"/>
          <w:lang w:val="en-US" w:eastAsia="zh-CN"/>
        </w:rPr>
        <w:t>f.</w:t>
      </w:r>
      <w:r>
        <w:rPr>
          <w:rFonts w:hint="default"/>
          <w:lang w:val="en-US" w:eastAsia="zh-CN"/>
        </w:rPr>
        <w:t>对接失业补贴中心</w:t>
      </w:r>
    </w:p>
    <w:p w14:paraId="2A0856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失业补贴中心相关技术标准规范，改造现有的贵州省社会保险信息系统，将部级下发的职业技能培训/介绍机构表（AF03）、职业技能培训/介绍补贴人员明细表（JC15）、失业补贴申领事件表（JB12）、稳岗返还申领表（JB13）、一次性扩岗补助申领表（JB14）、一次性扩岗补助人员明细表（JC14）、失业补贴待遇信息表（JB15）、失业补贴月应付核定汇总表（JB16）、失业补贴月应付核定明细表（JB17）、失业补贴补发扣发信息表（JB18）内嵌至贵州省业务经办生产库，在此之后将通过部级下发业务中台所提供服务进行数据操作。以实现记录面向各类机构的失业补贴待遇核定及待遇发放等相关业务进行管理。</w:t>
      </w:r>
    </w:p>
    <w:p w14:paraId="4ACC61E2">
      <w:pPr>
        <w:pStyle w:val="8"/>
        <w:numPr>
          <w:ilvl w:val="-1"/>
          <w:numId w:val="0"/>
        </w:numPr>
        <w:bidi w:val="0"/>
        <w:ind w:firstLine="643" w:firstLineChars="200"/>
        <w:rPr>
          <w:rFonts w:hint="default"/>
          <w:lang w:val="en-US" w:eastAsia="zh-CN"/>
        </w:rPr>
      </w:pPr>
      <w:r>
        <w:rPr>
          <w:rFonts w:hint="eastAsia"/>
          <w:lang w:val="en-US" w:eastAsia="zh-CN"/>
        </w:rPr>
        <w:t>g.</w:t>
      </w:r>
      <w:r>
        <w:rPr>
          <w:rFonts w:hint="default"/>
          <w:lang w:val="en-US" w:eastAsia="zh-CN"/>
        </w:rPr>
        <w:t>对接工伤认定</w:t>
      </w:r>
      <w:r>
        <w:rPr>
          <w:rFonts w:hint="eastAsia"/>
          <w:lang w:val="en-US" w:eastAsia="zh-CN"/>
        </w:rPr>
        <w:t>劳动能力</w:t>
      </w:r>
      <w:r>
        <w:rPr>
          <w:rFonts w:hint="default"/>
          <w:lang w:val="en-US" w:eastAsia="zh-CN"/>
        </w:rPr>
        <w:t>鉴定中心</w:t>
      </w:r>
    </w:p>
    <w:p w14:paraId="6AE026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根据部级业务中台工伤认定</w:t>
      </w:r>
      <w:r>
        <w:rPr>
          <w:rFonts w:hint="eastAsia" w:cs="仿宋_GB2312"/>
          <w:color w:val="auto"/>
          <w:kern w:val="2"/>
          <w:sz w:val="32"/>
          <w:szCs w:val="32"/>
          <w:lang w:val="en-US" w:eastAsia="zh-CN"/>
        </w:rPr>
        <w:t>劳动能力</w:t>
      </w:r>
      <w:r>
        <w:rPr>
          <w:rFonts w:hint="default" w:ascii="仿宋_GB2312" w:hAnsi="仿宋_GB2312" w:eastAsia="仿宋_GB2312" w:cs="仿宋_GB2312"/>
          <w:color w:val="auto"/>
          <w:kern w:val="2"/>
          <w:sz w:val="32"/>
          <w:szCs w:val="32"/>
          <w:lang w:val="en-US" w:eastAsia="zh-CN"/>
        </w:rPr>
        <w:t>鉴定中心相关技术标准规范，改造现有的贵州省社会保险信息系统，将部级下发的工伤认定申请及结论表（LC31）、劳动能力鉴定申请表（LC50）、劳动能力鉴定结论表（LC03）、辅助器具配置确认表（LC51）、鉴定专家信息表（LC52）、鉴定专家意见表（LC53）、鉴定专家组意见表（LC54）、伤害部位信息表（LC55）、职业病信息表（LC56）、护理项目信息表（LC57）、科别信息表（LC58）、回避日信息表（LC59）、工伤文书信息表（LC60）、工伤文书送达信息表（LC61）、鉴定批次信息表（LC62）、抽取专家信息表（LC63）内嵌至贵州省业务经办生产库，在此之后将通过部级下发业务中台所提供服务进行数据操作。以实现记录社会保险行政部门中的工伤认定，劳动能力鉴定部门的因工劳动能力鉴定、非因工劳动能力鉴定等相关业务进行管理。</w:t>
      </w:r>
    </w:p>
    <w:p w14:paraId="14C0DB20">
      <w:pPr>
        <w:pStyle w:val="8"/>
        <w:numPr>
          <w:ilvl w:val="-1"/>
          <w:numId w:val="0"/>
        </w:numPr>
        <w:bidi w:val="0"/>
        <w:ind w:firstLine="643" w:firstLineChars="200"/>
        <w:rPr>
          <w:rFonts w:hint="default"/>
          <w:lang w:val="en-US" w:eastAsia="zh-CN"/>
        </w:rPr>
      </w:pPr>
      <w:r>
        <w:rPr>
          <w:rFonts w:hint="eastAsia"/>
          <w:lang w:val="en-US" w:eastAsia="zh-CN"/>
        </w:rPr>
        <w:t>h.</w:t>
      </w:r>
      <w:r>
        <w:rPr>
          <w:rFonts w:hint="default"/>
          <w:lang w:val="en-US" w:eastAsia="zh-CN"/>
        </w:rPr>
        <w:t>对接工伤医疗管理中心</w:t>
      </w:r>
    </w:p>
    <w:p w14:paraId="0560E0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工伤医疗管理中心相关技术标准规范，改造现有的贵州省社会保险信息系统，将部级下发的工伤药品目录表（LA10）、工伤诊疗项目及服务设施目录表（LA11）、工伤医用材料目录表（LA12）、工伤辅助器具项目表（LA06）、工伤医疗（康复）最高支付限额信息表（LA07）、工伤病种信息表（LA08）、工伤协议机构信息表（LB01）、工伤普通医疗就诊备案信息表（LC20）、工伤辅助器具项目申请及结论表（LC21）、工伤康复项目申请及结论表（LC22）、工伤保险异地就医备案信息表（LC23）、工伤医疗费就诊资料信息表（LC24）、工伤医疗费处方明细信息表（LC25）、工伤医疗（康复）费结算信息表（LC26）、工伤辅助器具配置结算明细表（LC43）、工伤辅助器具配置结算信息表（LC44）、工伤审核扣款信息表（LC27）、工伤月结算手工调整信息表（LC28）、工伤月结算汇总信息表（LB03）、工伤月结算明细信息表（LB04）、工伤协议机构年度结算信息表（LB02）、工伤协议机构追回信息表（LB05）内嵌至贵州省业务经办生产库，在此之后将通过部级下发业务中台所提供服务进行数据操作。以实现工伤医疗、康复项目及辅助器具配置管理等相关业务进行管理。</w:t>
      </w:r>
    </w:p>
    <w:p w14:paraId="5BF4A83F">
      <w:pPr>
        <w:pStyle w:val="8"/>
        <w:numPr>
          <w:ilvl w:val="-1"/>
          <w:numId w:val="0"/>
        </w:numPr>
        <w:bidi w:val="0"/>
        <w:ind w:firstLine="643" w:firstLineChars="200"/>
        <w:rPr>
          <w:rFonts w:hint="default"/>
          <w:lang w:val="en-US" w:eastAsia="zh-CN"/>
        </w:rPr>
      </w:pPr>
      <w:r>
        <w:rPr>
          <w:rFonts w:hint="eastAsia"/>
          <w:lang w:val="en-US" w:eastAsia="zh-CN"/>
        </w:rPr>
        <w:t>i.</w:t>
      </w:r>
      <w:r>
        <w:rPr>
          <w:rFonts w:hint="default"/>
          <w:lang w:val="en-US" w:eastAsia="zh-CN"/>
        </w:rPr>
        <w:t>对接工伤预防管理中心</w:t>
      </w:r>
    </w:p>
    <w:p w14:paraId="2161DE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工伤预防管理中心相关技术标准规范，改造现有的贵州省社会保险信息系统，将部级下发的工伤预防项目登记信息表（LB30）、工伤预防项目费用支付表（LB31）内嵌至贵州省业务经办生产库，在此之后将通过部级下发业务中台所提供服务进行数据操作。以实现记录工伤预防项目实施情况和工伤预防费用使用情况等业务进行管理。</w:t>
      </w:r>
    </w:p>
    <w:p w14:paraId="5536BDDA">
      <w:pPr>
        <w:pStyle w:val="8"/>
        <w:numPr>
          <w:ilvl w:val="-1"/>
          <w:numId w:val="0"/>
        </w:numPr>
        <w:bidi w:val="0"/>
        <w:ind w:firstLine="643" w:firstLineChars="200"/>
        <w:rPr>
          <w:rFonts w:hint="default"/>
          <w:lang w:val="en-US" w:eastAsia="zh-CN"/>
        </w:rPr>
      </w:pPr>
      <w:r>
        <w:rPr>
          <w:rFonts w:hint="eastAsia"/>
          <w:lang w:val="en-US" w:eastAsia="zh-CN"/>
        </w:rPr>
        <w:t>j.对接</w:t>
      </w:r>
      <w:r>
        <w:rPr>
          <w:rFonts w:hint="default"/>
          <w:lang w:val="en-US" w:eastAsia="zh-CN"/>
        </w:rPr>
        <w:t>基础信息中心</w:t>
      </w:r>
    </w:p>
    <w:p w14:paraId="2B18A8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根据部级业务中台</w:t>
      </w:r>
      <w:r>
        <w:rPr>
          <w:rFonts w:hint="eastAsia" w:ascii="仿宋_GB2312" w:hAnsi="仿宋_GB2312" w:eastAsia="仿宋_GB2312" w:cs="仿宋_GB2312"/>
          <w:color w:val="auto"/>
          <w:kern w:val="2"/>
          <w:sz w:val="32"/>
          <w:szCs w:val="32"/>
          <w:lang w:val="en-US" w:eastAsia="zh-CN"/>
        </w:rPr>
        <w:t>基础信息</w:t>
      </w:r>
      <w:r>
        <w:rPr>
          <w:rFonts w:hint="default" w:ascii="仿宋_GB2312" w:hAnsi="仿宋_GB2312" w:eastAsia="仿宋_GB2312" w:cs="仿宋_GB2312"/>
          <w:color w:val="auto"/>
          <w:kern w:val="2"/>
          <w:sz w:val="32"/>
          <w:szCs w:val="32"/>
          <w:lang w:val="en-US" w:eastAsia="zh-CN"/>
        </w:rPr>
        <w:t>中心相关技术标准规范，改造现有的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失业保险、工伤保险、城乡居民基本养老保险、机关事业单位养老保险的单位公共基础信息、人员公共基础信息、当事人公共基础信息、当事人公共基础资料变更事件纳入部下发中台基础信息中心进行管理</w:t>
      </w:r>
      <w:r>
        <w:rPr>
          <w:rFonts w:hint="default" w:ascii="仿宋_GB2312" w:hAnsi="仿宋_GB2312" w:eastAsia="仿宋_GB2312" w:cs="仿宋_GB2312"/>
          <w:color w:val="auto"/>
          <w:kern w:val="2"/>
          <w:sz w:val="32"/>
          <w:szCs w:val="32"/>
          <w:lang w:val="en-US" w:eastAsia="zh-CN"/>
        </w:rPr>
        <w:t>，在此之后将通过部级下发业务中台所提供服务进行数据操作。以实现</w:t>
      </w:r>
      <w:r>
        <w:rPr>
          <w:rFonts w:hint="eastAsia" w:ascii="仿宋_GB2312" w:hAnsi="仿宋_GB2312" w:eastAsia="仿宋_GB2312" w:cs="仿宋_GB2312"/>
          <w:color w:val="auto"/>
          <w:kern w:val="2"/>
          <w:sz w:val="32"/>
          <w:szCs w:val="32"/>
          <w:lang w:val="en-US" w:eastAsia="zh-CN"/>
        </w:rPr>
        <w:t>单位</w:t>
      </w:r>
      <w:r>
        <w:rPr>
          <w:rFonts w:hint="default" w:ascii="仿宋_GB2312" w:hAnsi="仿宋_GB2312" w:eastAsia="仿宋_GB2312" w:cs="仿宋_GB2312"/>
          <w:color w:val="auto"/>
          <w:kern w:val="2"/>
          <w:sz w:val="32"/>
          <w:szCs w:val="32"/>
          <w:lang w:val="en-US" w:eastAsia="zh-CN"/>
        </w:rPr>
        <w:t>公共基础</w:t>
      </w:r>
      <w:r>
        <w:rPr>
          <w:rFonts w:hint="eastAsia" w:ascii="仿宋_GB2312" w:hAnsi="仿宋_GB2312" w:eastAsia="仿宋_GB2312" w:cs="仿宋_GB2312"/>
          <w:color w:val="auto"/>
          <w:kern w:val="2"/>
          <w:sz w:val="32"/>
          <w:szCs w:val="32"/>
          <w:lang w:val="en-US" w:eastAsia="zh-CN"/>
        </w:rPr>
        <w:t>信息和人员公共基础信息进行管理。单位和人员公共基础信息发生变更时，记录变更事件及变更明细。</w:t>
      </w:r>
    </w:p>
    <w:p w14:paraId="7482893C">
      <w:pPr>
        <w:pStyle w:val="8"/>
        <w:numPr>
          <w:ilvl w:val="-1"/>
          <w:numId w:val="0"/>
        </w:numPr>
        <w:bidi w:val="0"/>
        <w:ind w:firstLine="643" w:firstLineChars="200"/>
        <w:rPr>
          <w:rFonts w:hint="default"/>
          <w:lang w:val="en-US" w:eastAsia="zh-CN"/>
        </w:rPr>
      </w:pPr>
      <w:r>
        <w:rPr>
          <w:rFonts w:hint="eastAsia"/>
          <w:lang w:val="en-US" w:eastAsia="zh-CN"/>
        </w:rPr>
        <w:t>k.对接</w:t>
      </w:r>
      <w:r>
        <w:rPr>
          <w:rFonts w:hint="default"/>
          <w:lang w:val="en-US" w:eastAsia="zh-CN"/>
        </w:rPr>
        <w:t>金融支付中心</w:t>
      </w:r>
    </w:p>
    <w:p w14:paraId="716F20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台金融支付中心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失业保险、工伤保险、城乡居民基本养老保险、机关事业单位养老保险的批量支付文件发送信息、批量支付文件银行处理反馈信息、人社机构银行账号信息纳入部下发中台全融支付中心进行管理</w:t>
      </w:r>
      <w:r>
        <w:rPr>
          <w:rFonts w:hint="default" w:ascii="仿宋_GB2312" w:hAnsi="仿宋_GB2312" w:eastAsia="仿宋_GB2312" w:cs="仿宋_GB2312"/>
          <w:color w:val="auto"/>
          <w:kern w:val="2"/>
          <w:sz w:val="32"/>
          <w:szCs w:val="32"/>
          <w:lang w:val="en-US" w:eastAsia="zh-CN"/>
        </w:rPr>
        <w:t>，在此之后将通过部级下发业务中台所提供服务进行数据操作。以实现</w:t>
      </w:r>
      <w:r>
        <w:rPr>
          <w:rFonts w:hint="eastAsia" w:ascii="仿宋_GB2312" w:hAnsi="仿宋_GB2312" w:eastAsia="仿宋_GB2312" w:cs="仿宋_GB2312"/>
          <w:color w:val="auto"/>
          <w:kern w:val="2"/>
          <w:sz w:val="32"/>
          <w:szCs w:val="32"/>
          <w:lang w:val="en-US" w:eastAsia="zh-CN"/>
        </w:rPr>
        <w:t>社保基金收发和人社账号流水管理。</w:t>
      </w:r>
    </w:p>
    <w:p w14:paraId="6907C2C1">
      <w:pPr>
        <w:pStyle w:val="8"/>
        <w:numPr>
          <w:ilvl w:val="-1"/>
          <w:numId w:val="0"/>
        </w:numPr>
        <w:bidi w:val="0"/>
        <w:ind w:firstLine="643" w:firstLineChars="200"/>
        <w:rPr>
          <w:rFonts w:hint="default"/>
          <w:lang w:val="en-US" w:eastAsia="zh-CN"/>
        </w:rPr>
      </w:pPr>
      <w:r>
        <w:rPr>
          <w:rFonts w:hint="eastAsia"/>
          <w:lang w:val="en-US" w:eastAsia="zh-CN"/>
        </w:rPr>
        <w:t>l.对接</w:t>
      </w:r>
      <w:r>
        <w:rPr>
          <w:rFonts w:hint="default"/>
          <w:lang w:val="en-US" w:eastAsia="zh-CN"/>
        </w:rPr>
        <w:t>基金财务中心</w:t>
      </w:r>
    </w:p>
    <w:p w14:paraId="263ECA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台基金财务中心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失业保险、工伤保险、城乡居民基本养老保险、机关事业单位养老保险的财务接口信息、财务接口明细表、业务财务关联对照信息纳入部下发中台基金财务中心进行管理</w:t>
      </w:r>
      <w:r>
        <w:rPr>
          <w:rFonts w:hint="default" w:ascii="仿宋_GB2312" w:hAnsi="仿宋_GB2312" w:eastAsia="仿宋_GB2312" w:cs="仿宋_GB2312"/>
          <w:color w:val="auto"/>
          <w:kern w:val="2"/>
          <w:sz w:val="32"/>
          <w:szCs w:val="32"/>
          <w:lang w:val="en-US" w:eastAsia="zh-CN"/>
        </w:rPr>
        <w:t>，在此之后将通过部级下发业务中台所提供服务进行数据操作。以实现</w:t>
      </w:r>
      <w:r>
        <w:rPr>
          <w:rFonts w:hint="eastAsia" w:ascii="仿宋_GB2312" w:hAnsi="仿宋_GB2312" w:eastAsia="仿宋_GB2312" w:cs="仿宋_GB2312"/>
          <w:color w:val="auto"/>
          <w:kern w:val="2"/>
          <w:sz w:val="32"/>
          <w:szCs w:val="32"/>
          <w:lang w:val="en-US" w:eastAsia="zh-CN"/>
        </w:rPr>
        <w:t>业务财务一体化，业务数据发送金融支付中心发放或代扣，推送财务软件进行做账等。</w:t>
      </w:r>
    </w:p>
    <w:p w14:paraId="51447D8E">
      <w:pPr>
        <w:pStyle w:val="8"/>
        <w:numPr>
          <w:ilvl w:val="-1"/>
          <w:numId w:val="0"/>
        </w:numPr>
        <w:bidi w:val="0"/>
        <w:ind w:firstLine="643" w:firstLineChars="200"/>
        <w:rPr>
          <w:rFonts w:hint="default"/>
          <w:lang w:val="en-US" w:eastAsia="zh-CN"/>
        </w:rPr>
      </w:pPr>
      <w:r>
        <w:rPr>
          <w:rFonts w:hint="eastAsia"/>
          <w:lang w:val="en-US" w:eastAsia="zh-CN"/>
        </w:rPr>
        <w:t>m.对接</w:t>
      </w:r>
      <w:r>
        <w:rPr>
          <w:rFonts w:hint="default"/>
          <w:lang w:val="en-US" w:eastAsia="zh-CN"/>
        </w:rPr>
        <w:t>业务事项中心</w:t>
      </w:r>
    </w:p>
    <w:p w14:paraId="4C65FC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台业务事项中心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相关业务对接部下发中台业务事项中心，支持人社业务的公共服务和行政许可事项进行全面的标准化管理。后台数据库包含事项信息、模块信息、原子业务信息、事项与模块关联信息、模块与原子业务关联信息、原子业务风控点关联信息、原子业务校验材料关联信息、业务日志表信息、日志补充信息等，对业务事项进行标准化全面配置。</w:t>
      </w:r>
    </w:p>
    <w:p w14:paraId="4B440E43">
      <w:pPr>
        <w:pStyle w:val="8"/>
        <w:numPr>
          <w:ilvl w:val="-1"/>
          <w:numId w:val="0"/>
        </w:numPr>
        <w:bidi w:val="0"/>
        <w:ind w:firstLine="643" w:firstLineChars="200"/>
        <w:rPr>
          <w:rFonts w:hint="default"/>
          <w:lang w:val="en-US" w:eastAsia="zh-CN"/>
        </w:rPr>
      </w:pPr>
      <w:r>
        <w:rPr>
          <w:rFonts w:hint="eastAsia"/>
          <w:lang w:val="en-US" w:eastAsia="zh-CN"/>
        </w:rPr>
        <w:t>n.对接</w:t>
      </w:r>
      <w:r>
        <w:rPr>
          <w:rFonts w:hint="default"/>
          <w:lang w:val="en-US" w:eastAsia="zh-CN"/>
        </w:rPr>
        <w:t>电子材料中心</w:t>
      </w:r>
    </w:p>
    <w:p w14:paraId="57C689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台电子材料中心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相关业务对接部下发中台电子材料中心，为各个业务系统和通用子系统提供业务材料存储服务，支持各个业务系统经办需要，实现业务材料的保存，后台数据库表主要包含文件信息表和原件信息表，分别用来存储文件信息和上传的材料原件。</w:t>
      </w:r>
    </w:p>
    <w:p w14:paraId="0F4C260F">
      <w:pPr>
        <w:pStyle w:val="8"/>
        <w:numPr>
          <w:ilvl w:val="-1"/>
          <w:numId w:val="0"/>
        </w:numPr>
        <w:bidi w:val="0"/>
        <w:ind w:firstLine="643" w:firstLineChars="200"/>
        <w:rPr>
          <w:rFonts w:hint="default"/>
          <w:lang w:val="en-US" w:eastAsia="zh-CN"/>
        </w:rPr>
      </w:pPr>
      <w:r>
        <w:rPr>
          <w:rFonts w:hint="eastAsia"/>
          <w:lang w:val="en-US" w:eastAsia="zh-CN"/>
        </w:rPr>
        <w:t>o.对接</w:t>
      </w:r>
      <w:r>
        <w:rPr>
          <w:rFonts w:hint="default"/>
          <w:lang w:val="en-US" w:eastAsia="zh-CN"/>
        </w:rPr>
        <w:t>风控预警中心</w:t>
      </w:r>
    </w:p>
    <w:p w14:paraId="302465BE">
      <w:pPr>
        <w:widowControl w:val="0"/>
        <w:ind w:leftChars="0" w:firstLine="640" w:firstLineChars="200"/>
        <w:rPr>
          <w:rFonts w:hint="eastAsia"/>
          <w:lang w:val="en-US" w:eastAsia="zh-CN"/>
        </w:rPr>
      </w:pPr>
      <w:r>
        <w:rPr>
          <w:rFonts w:hint="default" w:ascii="仿宋_GB2312" w:hAnsi="仿宋_GB2312" w:eastAsia="仿宋_GB2312" w:cs="仿宋_GB2312"/>
          <w:color w:val="auto"/>
          <w:kern w:val="2"/>
          <w:sz w:val="32"/>
          <w:szCs w:val="32"/>
          <w:lang w:val="en-US" w:eastAsia="zh-CN"/>
        </w:rPr>
        <w:t>根据部级业务中</w:t>
      </w:r>
      <w:r>
        <w:rPr>
          <w:rFonts w:hint="eastAsia" w:ascii="仿宋_GB2312" w:hAnsi="仿宋_GB2312" w:eastAsia="仿宋_GB2312" w:cs="仿宋_GB2312"/>
          <w:color w:val="auto"/>
          <w:kern w:val="2"/>
          <w:sz w:val="32"/>
          <w:szCs w:val="32"/>
          <w:lang w:val="en-US" w:eastAsia="zh-CN"/>
        </w:rPr>
        <w:t>台风控预警中心</w:t>
      </w:r>
      <w:r>
        <w:rPr>
          <w:rFonts w:hint="default" w:ascii="仿宋_GB2312" w:hAnsi="仿宋_GB2312" w:eastAsia="仿宋_GB2312" w:cs="仿宋_GB2312"/>
          <w:color w:val="auto"/>
          <w:kern w:val="2"/>
          <w:sz w:val="32"/>
          <w:szCs w:val="32"/>
          <w:lang w:val="en-US" w:eastAsia="zh-CN"/>
        </w:rPr>
        <w:t>相关技术标准规范，改造现有的</w:t>
      </w:r>
      <w:r>
        <w:rPr>
          <w:rFonts w:hint="eastAsia" w:ascii="仿宋_GB2312" w:hAnsi="仿宋_GB2312" w:eastAsia="仿宋_GB2312" w:cs="仿宋_GB2312"/>
          <w:color w:val="auto"/>
          <w:kern w:val="2"/>
          <w:sz w:val="32"/>
          <w:szCs w:val="32"/>
          <w:lang w:val="en-US" w:eastAsia="zh-CN"/>
        </w:rPr>
        <w:t>贵州省</w:t>
      </w:r>
      <w:r>
        <w:rPr>
          <w:rFonts w:hint="default" w:ascii="仿宋_GB2312" w:hAnsi="仿宋_GB2312" w:eastAsia="仿宋_GB2312" w:cs="仿宋_GB2312"/>
          <w:color w:val="auto"/>
          <w:kern w:val="2"/>
          <w:sz w:val="32"/>
          <w:szCs w:val="32"/>
          <w:lang w:val="en-US" w:eastAsia="zh-CN"/>
        </w:rPr>
        <w:t>社会保险</w:t>
      </w:r>
      <w:r>
        <w:rPr>
          <w:rFonts w:hint="eastAsia" w:ascii="仿宋_GB2312" w:hAnsi="仿宋_GB2312" w:eastAsia="仿宋_GB2312" w:cs="仿宋_GB2312"/>
          <w:color w:val="auto"/>
          <w:kern w:val="2"/>
          <w:sz w:val="32"/>
          <w:szCs w:val="32"/>
          <w:lang w:val="en-US" w:eastAsia="zh-CN"/>
        </w:rPr>
        <w:t>信息</w:t>
      </w:r>
      <w:r>
        <w:rPr>
          <w:rFonts w:hint="default" w:ascii="仿宋_GB2312" w:hAnsi="仿宋_GB2312" w:eastAsia="仿宋_GB2312" w:cs="仿宋_GB2312"/>
          <w:color w:val="auto"/>
          <w:kern w:val="2"/>
          <w:sz w:val="32"/>
          <w:szCs w:val="32"/>
          <w:lang w:val="en-US" w:eastAsia="zh-CN"/>
        </w:rPr>
        <w:t>系统，将</w:t>
      </w:r>
      <w:r>
        <w:rPr>
          <w:rFonts w:hint="eastAsia" w:ascii="仿宋_GB2312" w:hAnsi="仿宋_GB2312" w:eastAsia="仿宋_GB2312" w:cs="仿宋_GB2312"/>
          <w:color w:val="auto"/>
          <w:kern w:val="2"/>
          <w:sz w:val="32"/>
          <w:szCs w:val="32"/>
          <w:lang w:val="en-US" w:eastAsia="zh-CN"/>
        </w:rPr>
        <w:t>失业保险、工伤保险、城乡居民基本养老保险、机关事业单位养老保险相关业务对接部下发中台风控预警中心，支持社保领域各类预警数据业务功能，提供业务调用风控预警服务信息的能力。</w:t>
      </w:r>
    </w:p>
    <w:p w14:paraId="147D5770">
      <w:pPr>
        <w:pStyle w:val="7"/>
        <w:rPr>
          <w:rFonts w:hint="eastAsia"/>
          <w:lang w:val="en-US" w:eastAsia="zh-CN"/>
        </w:rPr>
      </w:pPr>
      <w:r>
        <w:rPr>
          <w:rFonts w:hint="eastAsia"/>
          <w:lang w:val="en-US" w:eastAsia="zh-CN"/>
        </w:rPr>
        <w:t>完善全国统一标准规则库</w:t>
      </w:r>
    </w:p>
    <w:p w14:paraId="5FE559B9">
      <w:pPr>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按照人力资源和社会保障部办公厅下发的《</w:t>
      </w:r>
      <w:r>
        <w:rPr>
          <w:rFonts w:hint="eastAsia" w:ascii="仿宋_GB2312" w:hAnsi="仿宋_GB2312" w:eastAsia="仿宋_GB2312" w:cs="仿宋_GB2312"/>
          <w:color w:val="auto"/>
          <w:sz w:val="32"/>
          <w:szCs w:val="32"/>
          <w:lang w:val="en-US" w:eastAsia="zh-CN"/>
        </w:rPr>
        <w:t>关于印发全国统一社会保险全险种业务中台数据结构和原子业务技术规范的通知</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（人社厅函〔2025〕54号）</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遵循全险种业务中台数据结构、原子业务清单和数据处理逻辑、风险管控规则等全国统一标准规范，依托部级下发的</w:t>
      </w:r>
      <w:r>
        <w:rPr>
          <w:rFonts w:hint="eastAsia" w:cs="仿宋_GB2312"/>
          <w:color w:val="auto"/>
          <w:sz w:val="32"/>
          <w:szCs w:val="32"/>
          <w:lang w:val="en-US" w:eastAsia="zh-CN"/>
        </w:rPr>
        <w:t>新版</w:t>
      </w:r>
      <w:r>
        <w:rPr>
          <w:rFonts w:hint="eastAsia" w:ascii="仿宋_GB2312" w:hAnsi="仿宋_GB2312" w:eastAsia="仿宋_GB2312" w:cs="仿宋_GB2312"/>
          <w:color w:val="auto"/>
          <w:sz w:val="32"/>
          <w:szCs w:val="32"/>
          <w:lang w:val="en-US" w:eastAsia="zh-CN"/>
        </w:rPr>
        <w:t>全险种业务中台，改造省级社保业务系统</w:t>
      </w:r>
      <w:r>
        <w:rPr>
          <w:rFonts w:hint="eastAsia" w:cs="仿宋_GB2312"/>
          <w:color w:val="auto"/>
          <w:sz w:val="32"/>
          <w:szCs w:val="32"/>
          <w:lang w:val="en-US" w:eastAsia="zh-CN"/>
        </w:rPr>
        <w:t>，升级并配套标准规则库</w:t>
      </w:r>
      <w:r>
        <w:rPr>
          <w:rFonts w:hint="eastAsia" w:ascii="仿宋_GB2312" w:hAnsi="仿宋_GB2312" w:eastAsia="仿宋_GB2312" w:cs="仿宋_GB2312"/>
          <w:color w:val="auto"/>
          <w:sz w:val="32"/>
          <w:szCs w:val="32"/>
          <w:lang w:val="en-US" w:eastAsia="zh-CN"/>
        </w:rPr>
        <w:t>。</w:t>
      </w:r>
    </w:p>
    <w:p w14:paraId="745BB87D">
      <w:pPr>
        <w:pStyle w:val="8"/>
        <w:numPr>
          <w:ilvl w:val="-1"/>
          <w:numId w:val="0"/>
          <w:ins w:id="0" w:author="ysgz" w:date=""/>
        </w:numPr>
        <w:bidi w:val="0"/>
        <w:ind w:left="0" w:leftChars="0" w:firstLine="643" w:firstLineChars="200"/>
        <w:rPr>
          <w:rFonts w:hint="eastAsia"/>
          <w:lang w:val="en-US" w:eastAsia="zh-CN"/>
        </w:rPr>
      </w:pPr>
      <w:r>
        <w:rPr>
          <w:rFonts w:hint="eastAsia"/>
          <w:lang w:val="en-US" w:eastAsia="zh-CN"/>
        </w:rPr>
        <w:t>a.业务中台数据结构</w:t>
      </w:r>
    </w:p>
    <w:p w14:paraId="7B3A02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全国统筹工作部署，依托人力资源和社会保障服务网络，建成全国统一统筹信息系统，通过在各省部署全国统一的业务中台方式，规范各省本地生产数据技术标准，通过部省数据同步通道，实现数据实时向部级汇聚，实现保险数据全国集中管理，支持经办实时风险管控、集中监管和分析预警。</w:t>
      </w:r>
    </w:p>
    <w:p w14:paraId="51E49F9B">
      <w:pPr>
        <w:pStyle w:val="8"/>
        <w:numPr>
          <w:ilvl w:val="-1"/>
          <w:numId w:val="0"/>
          <w:ins w:id="1" w:author="ysgz" w:date=""/>
        </w:numPr>
        <w:bidi w:val="0"/>
        <w:ind w:left="0" w:firstLine="643" w:firstLineChars="200"/>
        <w:rPr>
          <w:rFonts w:hint="eastAsia"/>
          <w:lang w:val="en-US" w:eastAsia="zh-CN"/>
        </w:rPr>
      </w:pPr>
      <w:r>
        <w:rPr>
          <w:rFonts w:hint="eastAsia"/>
          <w:lang w:val="en-US" w:eastAsia="zh-CN"/>
        </w:rPr>
        <w:t>b.原子业务清单和数据处理逻辑</w:t>
      </w:r>
    </w:p>
    <w:p w14:paraId="4D3207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梳理本地业务系统的功能模块，在业务中台业务事项中心中，完成功能模块与原子业务的映射关系，后续业务实时经办时，通过调用原子业务对应的服务，完成数据持久化和数据回退等操作。后续需要在业务中台业务事项中心中更新功能模块与原子业务的映射关系，否则经办业务可能有问题。部级后续会根据各省经办数据监控各省原子业务使用情况。</w:t>
      </w:r>
    </w:p>
    <w:p w14:paraId="466DA5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需严格遵循原子业务处理逻辑。在使用原子业务中，不可超出处理逻辑要求的库表，对于强制处理的库表，必须操作处理，对于非强制处理的库表可结合本省实际业务酌情选择处理。</w:t>
      </w:r>
    </w:p>
    <w:p w14:paraId="233F15FE">
      <w:pPr>
        <w:pStyle w:val="8"/>
        <w:numPr>
          <w:ilvl w:val="-1"/>
          <w:numId w:val="0"/>
          <w:ins w:id="2" w:author="ysgz" w:date=""/>
        </w:numPr>
        <w:bidi w:val="0"/>
        <w:ind w:left="0" w:leftChars="0" w:firstLine="643" w:firstLineChars="200"/>
        <w:rPr>
          <w:rFonts w:hint="eastAsia"/>
          <w:lang w:val="en-US" w:eastAsia="zh-CN"/>
        </w:rPr>
      </w:pPr>
      <w:r>
        <w:rPr>
          <w:rFonts w:hint="eastAsia"/>
          <w:lang w:val="en-US" w:eastAsia="zh-CN"/>
        </w:rPr>
        <w:t>c.风险管控规则</w:t>
      </w:r>
    </w:p>
    <w:p w14:paraId="6405B6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含部持卡库中没有该法人信息、法人疑似死亡、欠费单位注销、未做减员、部持卡库中没有该参保登记人员信息、参保登记人员疑似死亡、该人员在本省已参保登记、非正常劳动年龄人员参保、跨省制度内正在参保缴费、跨省正常参保缴纳城乡居民养老保险费、跨省正常参保缴纳机关保、领取失业保险定期待遇人员参保登记、供养亲属参保登记、信息系统省级集中后，同一人员在多地记录基础信息，需要对人员基础信息合并处理</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部持卡库中没有合并后参保人员信息、合并后参保人员疑似死亡、非同一人人员信息合并、退休人员信息合并、未查询到该单位信息、部持卡库中没有法人信息、法人疑似死亡、部持卡库中没有修改后人员信息、修改后人员疑似死亡、修改后人员姓名与部持卡库不对应、公民身份号码修改后，存在重号的问题、证件号码与姓名同时修改、领取待遇人员变更证件号码、变更离退休日期、变更档案出生日期、变更生存状态、领取待遇人员社会保障号码修改后，跨省已领取企业职工养老保险待遇、领取待遇人员社会保障号码修改后，跨省已领取城乡居民养老保险待遇等216个规则。</w:t>
      </w:r>
    </w:p>
    <w:p w14:paraId="199C32DA">
      <w:pPr>
        <w:pStyle w:val="8"/>
        <w:numPr>
          <w:ilvl w:val="-1"/>
          <w:numId w:val="0"/>
          <w:ins w:id="3" w:author="ysgz" w:date=""/>
        </w:numPr>
        <w:bidi w:val="0"/>
        <w:ind w:left="0" w:leftChars="0" w:firstLine="643" w:firstLineChars="200"/>
        <w:rPr>
          <w:rFonts w:hint="default"/>
          <w:lang w:val="en-US" w:eastAsia="zh-CN"/>
        </w:rPr>
      </w:pPr>
      <w:r>
        <w:rPr>
          <w:rFonts w:hint="eastAsia"/>
          <w:lang w:val="en-US" w:eastAsia="zh-CN"/>
        </w:rPr>
        <w:t>d.完善业务流程和风控规则</w:t>
      </w:r>
    </w:p>
    <w:p w14:paraId="6A27F6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适应部省联动业务管控模式建设，进一步对各险种的业务流程进行整合规范。细化风控规则，明确各险种通用、单险专用、本地专用、部省通用等不同规则。同步推进全省通办、跨省通办等社保服务。</w:t>
      </w:r>
    </w:p>
    <w:p w14:paraId="6E468813">
      <w:pPr>
        <w:pStyle w:val="7"/>
        <w:bidi w:val="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cs="仿宋_GB2312"/>
          <w:strike w:val="0"/>
          <w:dstrike w:val="0"/>
          <w:color w:val="auto"/>
          <w:sz w:val="32"/>
          <w:szCs w:val="32"/>
          <w:lang w:val="en-US" w:eastAsia="zh-CN"/>
        </w:rPr>
        <w:t>升级改造</w:t>
      </w:r>
      <w:r>
        <w:rPr>
          <w:rFonts w:hint="eastAsia" w:ascii="仿宋_GB2312" w:hAnsi="仿宋_GB2312" w:eastAsia="仿宋_GB2312" w:cs="仿宋_GB2312"/>
          <w:strike w:val="0"/>
          <w:dstrike w:val="0"/>
          <w:color w:val="auto"/>
          <w:sz w:val="32"/>
          <w:szCs w:val="32"/>
          <w:lang w:val="en-US" w:eastAsia="zh-CN"/>
        </w:rPr>
        <w:t>运维服务平台</w:t>
      </w:r>
      <w:r>
        <w:rPr>
          <w:rFonts w:hint="eastAsia" w:ascii="仿宋_GB2312" w:hAnsi="仿宋_GB2312" w:cs="仿宋_GB2312"/>
          <w:strike w:val="0"/>
          <w:dstrike w:val="0"/>
          <w:color w:val="auto"/>
          <w:sz w:val="32"/>
          <w:szCs w:val="32"/>
          <w:lang w:val="en-US" w:eastAsia="zh-CN"/>
        </w:rPr>
        <w:t>和社保门户系统</w:t>
      </w:r>
    </w:p>
    <w:p w14:paraId="4E4718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按照“大管控”要求和《贵州省社会保险信息系统运维管理办法（试行）》《贵州省社会保险经办机构岗位权限管理实施细则（试行）》，为适应全险种业务“大管控”体系严格的运维规范和</w:t>
      </w:r>
      <w:r>
        <w:rPr>
          <w:rFonts w:hint="eastAsia" w:cs="仿宋_GB2312"/>
          <w:strike w:val="0"/>
          <w:dstrike w:val="0"/>
          <w:color w:val="auto"/>
          <w:sz w:val="32"/>
          <w:szCs w:val="32"/>
          <w:lang w:val="en-US" w:eastAsia="zh-CN"/>
        </w:rPr>
        <w:t>权限管理</w:t>
      </w:r>
      <w:r>
        <w:rPr>
          <w:rFonts w:hint="eastAsia" w:ascii="仿宋_GB2312" w:hAnsi="仿宋_GB2312" w:eastAsia="仿宋_GB2312" w:cs="仿宋_GB2312"/>
          <w:strike w:val="0"/>
          <w:dstrike w:val="0"/>
          <w:color w:val="auto"/>
          <w:sz w:val="32"/>
          <w:szCs w:val="32"/>
          <w:lang w:val="en-US" w:eastAsia="zh-CN"/>
        </w:rPr>
        <w:t>要求，规范社会保险信息系统的运维流程，保障社保基金安全，对运维服务平台</w:t>
      </w:r>
      <w:r>
        <w:rPr>
          <w:rFonts w:hint="eastAsia" w:cs="仿宋_GB2312"/>
          <w:strike w:val="0"/>
          <w:dstrike w:val="0"/>
          <w:color w:val="auto"/>
          <w:sz w:val="32"/>
          <w:szCs w:val="32"/>
          <w:lang w:val="en-US" w:eastAsia="zh-CN"/>
        </w:rPr>
        <w:t>和社保门户系统</w:t>
      </w:r>
      <w:r>
        <w:rPr>
          <w:rFonts w:hint="eastAsia" w:ascii="仿宋_GB2312" w:hAnsi="仿宋_GB2312" w:eastAsia="仿宋_GB2312" w:cs="仿宋_GB2312"/>
          <w:strike w:val="0"/>
          <w:dstrike w:val="0"/>
          <w:color w:val="auto"/>
          <w:sz w:val="32"/>
          <w:szCs w:val="32"/>
          <w:lang w:val="en-US" w:eastAsia="zh-CN"/>
        </w:rPr>
        <w:t>进行变更。</w:t>
      </w:r>
    </w:p>
    <w:p w14:paraId="1879263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cs="仿宋_GB2312"/>
          <w:strike w:val="0"/>
          <w:dstrike w:val="0"/>
          <w:color w:val="auto"/>
          <w:sz w:val="32"/>
          <w:szCs w:val="32"/>
          <w:lang w:val="en-US" w:eastAsia="zh-CN"/>
        </w:rPr>
        <w:t>a.运维服务平台</w:t>
      </w:r>
      <w:r>
        <w:rPr>
          <w:rFonts w:hint="eastAsia" w:ascii="仿宋_GB2312" w:hAnsi="仿宋_GB2312" w:eastAsia="仿宋_GB2312" w:cs="仿宋_GB2312"/>
          <w:strike w:val="0"/>
          <w:dstrike w:val="0"/>
          <w:color w:val="auto"/>
          <w:sz w:val="32"/>
          <w:szCs w:val="32"/>
          <w:lang w:val="en-US" w:eastAsia="zh-CN"/>
        </w:rPr>
        <w:t>变更的主要</w:t>
      </w:r>
      <w:r>
        <w:rPr>
          <w:rFonts w:hint="eastAsia" w:cs="仿宋_GB2312"/>
          <w:strike w:val="0"/>
          <w:dstrike w:val="0"/>
          <w:color w:val="auto"/>
          <w:sz w:val="32"/>
          <w:szCs w:val="32"/>
          <w:lang w:val="en-US" w:eastAsia="zh-CN"/>
        </w:rPr>
        <w:t>内容</w:t>
      </w:r>
      <w:r>
        <w:rPr>
          <w:rFonts w:hint="eastAsia" w:ascii="仿宋_GB2312" w:hAnsi="仿宋_GB2312" w:eastAsia="仿宋_GB2312" w:cs="仿宋_GB2312"/>
          <w:strike w:val="0"/>
          <w:dstrike w:val="0"/>
          <w:color w:val="auto"/>
          <w:sz w:val="32"/>
          <w:szCs w:val="32"/>
          <w:lang w:val="en-US" w:eastAsia="zh-CN"/>
        </w:rPr>
        <w:t>有：</w:t>
      </w:r>
      <w:r>
        <w:rPr>
          <w:rFonts w:hint="default" w:ascii="仿宋_GB2312" w:hAnsi="仿宋_GB2312" w:eastAsia="仿宋_GB2312" w:cs="仿宋_GB2312"/>
          <w:b w:val="0"/>
          <w:bCs w:val="0"/>
          <w:strike w:val="0"/>
          <w:dstrike w:val="0"/>
          <w:color w:val="auto"/>
          <w:sz w:val="32"/>
          <w:szCs w:val="32"/>
          <w:lang w:val="en-US" w:eastAsia="zh-CN"/>
        </w:rPr>
        <w:t>配置管理</w:t>
      </w:r>
      <w:r>
        <w:rPr>
          <w:rFonts w:hint="eastAsia" w:ascii="仿宋_GB2312" w:hAnsi="仿宋_GB2312" w:eastAsia="仿宋_GB2312" w:cs="仿宋_GB2312"/>
          <w:b w:val="0"/>
          <w:bCs w:val="0"/>
          <w:strike w:val="0"/>
          <w:dstrike w:val="0"/>
          <w:color w:val="auto"/>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流程配置</w:t>
      </w:r>
      <w:r>
        <w:rPr>
          <w:rFonts w:hint="eastAsia" w:ascii="仿宋_GB2312" w:hAnsi="仿宋_GB2312" w:eastAsia="仿宋_GB2312" w:cs="仿宋_GB2312"/>
          <w:b w:val="0"/>
          <w:bCs w:val="0"/>
          <w:strike w:val="0"/>
          <w:dstrike w:val="0"/>
          <w:color w:val="auto"/>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工单管理</w:t>
      </w:r>
      <w:r>
        <w:rPr>
          <w:rFonts w:hint="eastAsia" w:ascii="仿宋_GB2312" w:hAnsi="仿宋_GB2312" w:eastAsia="仿宋_GB2312" w:cs="仿宋_GB2312"/>
          <w:b w:val="0"/>
          <w:bCs w:val="0"/>
          <w:strike w:val="0"/>
          <w:dstrike w:val="0"/>
          <w:color w:val="auto"/>
          <w:sz w:val="32"/>
          <w:szCs w:val="32"/>
          <w:lang w:val="en-US" w:eastAsia="zh-CN"/>
        </w:rPr>
        <w:t>、工作台中心；变更内容有：对厂商数据进行维护，包括厂商的增删改查，新建需要配置的流程并指明流程各节点的权限和规则并完成部署，根据用户权限查询系统中已经生成的工单数据的详细信息，提供工单登记的快捷入口。</w:t>
      </w:r>
    </w:p>
    <w:p w14:paraId="2B5DC11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cs="仿宋_GB2312"/>
          <w:b w:val="0"/>
          <w:bCs w:val="0"/>
          <w:strike w:val="0"/>
          <w:dstrike w:val="0"/>
          <w:color w:val="auto"/>
          <w:sz w:val="32"/>
          <w:szCs w:val="32"/>
          <w:lang w:val="en-US" w:eastAsia="zh-CN"/>
        </w:rPr>
      </w:pPr>
      <w:r>
        <w:rPr>
          <w:rFonts w:hint="eastAsia" w:cs="仿宋_GB2312"/>
          <w:b w:val="0"/>
          <w:bCs w:val="0"/>
          <w:strike w:val="0"/>
          <w:dstrike w:val="0"/>
          <w:color w:val="auto"/>
          <w:sz w:val="32"/>
          <w:szCs w:val="32"/>
          <w:lang w:val="en-US" w:eastAsia="zh-CN"/>
        </w:rPr>
        <w:t>b.社保门户系统变更的主要内容有：新增人员岗位权限管理功能、新增权限查询功能、新增预警数据查询功能、新增授权材料存档功能等。</w:t>
      </w:r>
    </w:p>
    <w:p w14:paraId="37AE48B6">
      <w:pPr>
        <w:pStyle w:val="6"/>
        <w:numPr>
          <w:ilvl w:val="-1"/>
          <w:numId w:val="0"/>
        </w:numPr>
        <w:ind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cs="仿宋_GB2312"/>
          <w:b/>
          <w:bCs/>
          <w:strike w:val="0"/>
          <w:dstrike w:val="0"/>
          <w:color w:val="auto"/>
          <w:sz w:val="32"/>
          <w:szCs w:val="32"/>
          <w:lang w:val="en-US" w:eastAsia="zh-CN"/>
        </w:rPr>
        <w:t>2.</w:t>
      </w:r>
      <w:r>
        <w:rPr>
          <w:rFonts w:hint="eastAsia" w:ascii="仿宋" w:hAnsi="仿宋" w:eastAsia="仿宋"/>
          <w:b/>
          <w:bCs/>
          <w:color w:val="000000" w:themeColor="text1"/>
          <w:sz w:val="32"/>
          <w:szCs w:val="32"/>
          <w14:textFill>
            <w14:solidFill>
              <w14:schemeClr w14:val="tx1"/>
            </w14:solidFill>
          </w14:textFill>
        </w:rPr>
        <w:t>社会保险基金监管系统升级改造</w:t>
      </w:r>
    </w:p>
    <w:p w14:paraId="69805EA6">
      <w:pPr>
        <w:ind w:left="0" w:leftChars="0" w:firstLine="640" w:firstLineChars="200"/>
        <w:rPr>
          <w:rFonts w:ascii="仿宋" w:hAnsi="仿宋" w:eastAsia="仿宋"/>
          <w:sz w:val="32"/>
          <w:szCs w:val="32"/>
        </w:rPr>
      </w:pPr>
      <w:r>
        <w:rPr>
          <w:rFonts w:hint="eastAsia" w:ascii="仿宋" w:hAnsi="仿宋" w:eastAsia="仿宋"/>
          <w:sz w:val="32"/>
          <w:szCs w:val="32"/>
        </w:rPr>
        <w:t>贵州省社会保险基金监管系统应用功能包括个人工作台、监督检查、要情管理、监督办公、</w:t>
      </w:r>
      <w:r>
        <w:rPr>
          <w:rFonts w:ascii="仿宋" w:hAnsi="仿宋" w:eastAsia="仿宋"/>
          <w:sz w:val="32"/>
          <w:szCs w:val="32"/>
        </w:rPr>
        <w:t>社保基金举报管理、风险处理、</w:t>
      </w:r>
      <w:r>
        <w:rPr>
          <w:rFonts w:hint="eastAsia" w:ascii="仿宋" w:hAnsi="仿宋" w:eastAsia="仿宋"/>
          <w:sz w:val="32"/>
          <w:szCs w:val="32"/>
        </w:rPr>
        <w:t>大屏展示、综合管理、数据分析九大功能模块。</w:t>
      </w:r>
    </w:p>
    <w:p w14:paraId="2A352DF5">
      <w:pPr>
        <w:spacing w:line="360" w:lineRule="auto"/>
        <w:ind w:left="0" w:leftChars="0" w:firstLine="640" w:firstLineChars="200"/>
        <w:outlineLvl w:val="3"/>
        <w:rPr>
          <w:rFonts w:ascii="仿宋" w:hAnsi="仿宋" w:eastAsia="仿宋"/>
          <w:sz w:val="32"/>
          <w:szCs w:val="32"/>
        </w:rPr>
      </w:pPr>
      <w:r>
        <w:rPr>
          <w:rFonts w:hint="eastAsia" w:ascii="仿宋" w:hAnsi="仿宋" w:eastAsia="仿宋"/>
          <w:sz w:val="32"/>
          <w:szCs w:val="32"/>
        </w:rPr>
        <w:t>1.个人工作台</w:t>
      </w:r>
    </w:p>
    <w:p w14:paraId="1BDF9F4C">
      <w:pPr>
        <w:overflowPunct w:val="0"/>
        <w:adjustRightInd w:val="0"/>
        <w:snapToGrid w:val="0"/>
        <w:spacing w:line="360" w:lineRule="auto"/>
        <w:ind w:left="0" w:leftChars="0" w:firstLine="640" w:firstLineChars="200"/>
        <w:rPr>
          <w:rFonts w:ascii="仿宋" w:hAnsi="仿宋" w:eastAsia="仿宋"/>
          <w:sz w:val="28"/>
          <w:szCs w:val="28"/>
        </w:rPr>
      </w:pPr>
      <w:r>
        <w:rPr>
          <w:rFonts w:hint="eastAsia" w:ascii="仿宋" w:hAnsi="仿宋" w:eastAsia="仿宋"/>
          <w:sz w:val="32"/>
          <w:szCs w:val="32"/>
        </w:rPr>
        <w:t>基金监督人员处理日常办公事务和进行协同办公的一系列相关功能模块。功能包括待办信息、事项提醒、监督动态展示、计划管理、常用功能、通讯录等。</w:t>
      </w:r>
    </w:p>
    <w:tbl>
      <w:tblPr>
        <w:tblStyle w:val="15"/>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93"/>
        <w:gridCol w:w="1984"/>
        <w:gridCol w:w="5245"/>
      </w:tblGrid>
      <w:tr w14:paraId="534F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993" w:type="dxa"/>
            <w:shd w:val="clear" w:color="auto" w:fill="FFFFFF"/>
            <w:vAlign w:val="center"/>
          </w:tcPr>
          <w:p w14:paraId="2FB9AB07">
            <w:pPr>
              <w:pStyle w:val="21"/>
              <w:ind w:firstLine="0" w:firstLineChars="0"/>
              <w:rPr>
                <w:rFonts w:ascii="仿宋" w:hAnsi="仿宋" w:eastAsia="仿宋"/>
                <w:sz w:val="24"/>
                <w:szCs w:val="24"/>
              </w:rPr>
            </w:pPr>
            <w:r>
              <w:rPr>
                <w:rFonts w:hint="eastAsia" w:ascii="仿宋" w:hAnsi="仿宋" w:eastAsia="仿宋"/>
                <w:sz w:val="24"/>
                <w:szCs w:val="24"/>
              </w:rPr>
              <w:t>序号</w:t>
            </w:r>
          </w:p>
        </w:tc>
        <w:tc>
          <w:tcPr>
            <w:tcW w:w="1984" w:type="dxa"/>
            <w:shd w:val="clear" w:color="auto" w:fill="FFFFFF"/>
            <w:vAlign w:val="center"/>
          </w:tcPr>
          <w:p w14:paraId="0DE9F215">
            <w:pPr>
              <w:pStyle w:val="21"/>
              <w:rPr>
                <w:rFonts w:ascii="仿宋" w:hAnsi="仿宋" w:eastAsia="仿宋"/>
                <w:sz w:val="24"/>
                <w:szCs w:val="24"/>
              </w:rPr>
            </w:pPr>
            <w:r>
              <w:rPr>
                <w:rFonts w:hint="eastAsia" w:ascii="仿宋" w:hAnsi="仿宋" w:eastAsia="仿宋"/>
                <w:sz w:val="24"/>
                <w:szCs w:val="24"/>
              </w:rPr>
              <w:t>事项名称</w:t>
            </w:r>
          </w:p>
        </w:tc>
        <w:tc>
          <w:tcPr>
            <w:tcW w:w="5245" w:type="dxa"/>
            <w:shd w:val="clear" w:color="auto" w:fill="FFFFFF"/>
            <w:vAlign w:val="center"/>
          </w:tcPr>
          <w:p w14:paraId="156712E2">
            <w:pPr>
              <w:pStyle w:val="21"/>
              <w:rPr>
                <w:rFonts w:ascii="仿宋" w:hAnsi="仿宋" w:eastAsia="仿宋"/>
                <w:sz w:val="24"/>
                <w:szCs w:val="24"/>
              </w:rPr>
            </w:pPr>
            <w:r>
              <w:rPr>
                <w:rFonts w:hint="eastAsia" w:ascii="仿宋" w:hAnsi="仿宋" w:eastAsia="仿宋"/>
                <w:sz w:val="24"/>
                <w:szCs w:val="24"/>
              </w:rPr>
              <w:t>需求描述</w:t>
            </w:r>
          </w:p>
        </w:tc>
      </w:tr>
      <w:tr w14:paraId="7550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FFFFFF"/>
            <w:vAlign w:val="center"/>
          </w:tcPr>
          <w:p w14:paraId="7ED4DF35">
            <w:pPr>
              <w:pStyle w:val="21"/>
              <w:rPr>
                <w:rFonts w:ascii="仿宋" w:hAnsi="仿宋" w:eastAsia="仿宋"/>
                <w:sz w:val="24"/>
                <w:szCs w:val="24"/>
              </w:rPr>
            </w:pPr>
            <w:r>
              <w:rPr>
                <w:rFonts w:hint="eastAsia" w:ascii="仿宋" w:hAnsi="仿宋" w:eastAsia="仿宋"/>
                <w:sz w:val="24"/>
                <w:szCs w:val="24"/>
              </w:rPr>
              <w:t>1</w:t>
            </w:r>
          </w:p>
        </w:tc>
        <w:tc>
          <w:tcPr>
            <w:tcW w:w="1984" w:type="dxa"/>
            <w:shd w:val="clear" w:color="auto" w:fill="FFFFFF"/>
            <w:vAlign w:val="center"/>
          </w:tcPr>
          <w:p w14:paraId="15C9E16A">
            <w:pPr>
              <w:pStyle w:val="21"/>
              <w:ind w:firstLine="0" w:firstLineChars="0"/>
              <w:rPr>
                <w:rFonts w:ascii="仿宋" w:hAnsi="仿宋" w:eastAsia="仿宋"/>
                <w:sz w:val="24"/>
                <w:szCs w:val="24"/>
              </w:rPr>
            </w:pPr>
            <w:r>
              <w:rPr>
                <w:rFonts w:hint="eastAsia" w:ascii="仿宋" w:hAnsi="仿宋" w:eastAsia="仿宋"/>
                <w:sz w:val="24"/>
                <w:szCs w:val="24"/>
              </w:rPr>
              <w:t>待办信息</w:t>
            </w:r>
          </w:p>
        </w:tc>
        <w:tc>
          <w:tcPr>
            <w:tcW w:w="5245" w:type="dxa"/>
            <w:shd w:val="clear" w:color="auto" w:fill="FFFFFF"/>
            <w:vAlign w:val="center"/>
          </w:tcPr>
          <w:p w14:paraId="12C3CFC9">
            <w:pPr>
              <w:pStyle w:val="21"/>
              <w:ind w:firstLine="0" w:firstLineChars="0"/>
              <w:rPr>
                <w:rFonts w:ascii="仿宋" w:hAnsi="仿宋" w:eastAsia="仿宋"/>
                <w:sz w:val="24"/>
                <w:szCs w:val="24"/>
              </w:rPr>
            </w:pPr>
            <w:r>
              <w:rPr>
                <w:rFonts w:hint="eastAsia" w:ascii="仿宋" w:hAnsi="仿宋" w:eastAsia="仿宋"/>
                <w:sz w:val="24"/>
                <w:szCs w:val="24"/>
              </w:rPr>
              <w:t>基金监管人员查看需要待办的事项，进入待办信息功能模块快速办理。</w:t>
            </w:r>
          </w:p>
        </w:tc>
      </w:tr>
      <w:tr w14:paraId="7654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FFFFFF"/>
            <w:vAlign w:val="center"/>
          </w:tcPr>
          <w:p w14:paraId="71F18D1E">
            <w:pPr>
              <w:pStyle w:val="21"/>
              <w:rPr>
                <w:rFonts w:ascii="仿宋" w:hAnsi="仿宋" w:eastAsia="仿宋"/>
                <w:sz w:val="24"/>
                <w:szCs w:val="24"/>
              </w:rPr>
            </w:pPr>
            <w:r>
              <w:rPr>
                <w:rFonts w:hint="eastAsia" w:ascii="仿宋" w:hAnsi="仿宋" w:eastAsia="仿宋"/>
                <w:sz w:val="24"/>
                <w:szCs w:val="24"/>
              </w:rPr>
              <w:t>2</w:t>
            </w:r>
          </w:p>
        </w:tc>
        <w:tc>
          <w:tcPr>
            <w:tcW w:w="1984" w:type="dxa"/>
            <w:shd w:val="clear" w:color="auto" w:fill="FFFFFF"/>
            <w:vAlign w:val="center"/>
          </w:tcPr>
          <w:p w14:paraId="32BF918A">
            <w:pPr>
              <w:pStyle w:val="21"/>
              <w:ind w:firstLine="0" w:firstLineChars="0"/>
              <w:rPr>
                <w:rFonts w:ascii="仿宋" w:hAnsi="仿宋" w:eastAsia="仿宋"/>
                <w:sz w:val="24"/>
                <w:szCs w:val="24"/>
              </w:rPr>
            </w:pPr>
            <w:r>
              <w:rPr>
                <w:rFonts w:hint="eastAsia" w:ascii="仿宋" w:hAnsi="仿宋" w:eastAsia="仿宋"/>
                <w:sz w:val="24"/>
                <w:szCs w:val="24"/>
              </w:rPr>
              <w:t>事项提醒</w:t>
            </w:r>
          </w:p>
        </w:tc>
        <w:tc>
          <w:tcPr>
            <w:tcW w:w="5245" w:type="dxa"/>
            <w:shd w:val="clear" w:color="auto" w:fill="FFFFFF"/>
            <w:vAlign w:val="center"/>
          </w:tcPr>
          <w:p w14:paraId="4AE6F633">
            <w:pPr>
              <w:pStyle w:val="21"/>
              <w:ind w:firstLine="0" w:firstLineChars="0"/>
              <w:rPr>
                <w:rFonts w:ascii="仿宋" w:hAnsi="仿宋" w:eastAsia="仿宋"/>
                <w:sz w:val="24"/>
                <w:szCs w:val="24"/>
              </w:rPr>
            </w:pPr>
            <w:r>
              <w:rPr>
                <w:rFonts w:hint="eastAsia" w:ascii="仿宋" w:hAnsi="仿宋" w:eastAsia="仿宋"/>
                <w:sz w:val="24"/>
                <w:szCs w:val="24"/>
              </w:rPr>
              <w:t>将通知公告或其他自定义的事项提醒信息，即时弹出提醒工作人员查阅、回复、执行相关工作。</w:t>
            </w:r>
          </w:p>
        </w:tc>
      </w:tr>
      <w:tr w14:paraId="43E0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FFFFFF"/>
            <w:vAlign w:val="center"/>
          </w:tcPr>
          <w:p w14:paraId="4F4828CF">
            <w:pPr>
              <w:pStyle w:val="21"/>
              <w:rPr>
                <w:rFonts w:ascii="仿宋" w:hAnsi="仿宋" w:eastAsia="仿宋"/>
                <w:sz w:val="24"/>
                <w:szCs w:val="24"/>
              </w:rPr>
            </w:pPr>
            <w:r>
              <w:rPr>
                <w:rFonts w:hint="eastAsia" w:ascii="仿宋" w:hAnsi="仿宋" w:eastAsia="仿宋"/>
                <w:sz w:val="24"/>
                <w:szCs w:val="24"/>
              </w:rPr>
              <w:t>3</w:t>
            </w:r>
          </w:p>
        </w:tc>
        <w:tc>
          <w:tcPr>
            <w:tcW w:w="1984" w:type="dxa"/>
            <w:shd w:val="clear" w:color="auto" w:fill="FFFFFF"/>
            <w:vAlign w:val="center"/>
          </w:tcPr>
          <w:p w14:paraId="60A58C31">
            <w:pPr>
              <w:pStyle w:val="21"/>
              <w:ind w:firstLine="0" w:firstLineChars="0"/>
              <w:rPr>
                <w:rFonts w:ascii="仿宋" w:hAnsi="仿宋" w:eastAsia="仿宋"/>
                <w:sz w:val="24"/>
                <w:szCs w:val="24"/>
              </w:rPr>
            </w:pPr>
            <w:r>
              <w:rPr>
                <w:rFonts w:hint="eastAsia" w:ascii="仿宋" w:hAnsi="仿宋" w:eastAsia="仿宋"/>
                <w:sz w:val="24"/>
                <w:szCs w:val="24"/>
              </w:rPr>
              <w:t>监督动态展示</w:t>
            </w:r>
          </w:p>
        </w:tc>
        <w:tc>
          <w:tcPr>
            <w:tcW w:w="5245" w:type="dxa"/>
            <w:shd w:val="clear" w:color="auto" w:fill="FFFFFF"/>
            <w:vAlign w:val="center"/>
          </w:tcPr>
          <w:p w14:paraId="2CD3B1EF">
            <w:pPr>
              <w:pStyle w:val="21"/>
              <w:ind w:firstLine="0" w:firstLineChars="0"/>
              <w:rPr>
                <w:rFonts w:ascii="仿宋" w:hAnsi="仿宋" w:eastAsia="仿宋"/>
                <w:sz w:val="24"/>
                <w:szCs w:val="24"/>
              </w:rPr>
            </w:pPr>
            <w:r>
              <w:rPr>
                <w:rFonts w:hint="eastAsia" w:ascii="仿宋" w:hAnsi="仿宋" w:eastAsia="仿宋"/>
                <w:sz w:val="24"/>
                <w:szCs w:val="24"/>
              </w:rPr>
              <w:t>将社会保险基金监管相关工作信息、动态信息，按需更新与展示。用于监管人员查阅了解社保情况。</w:t>
            </w:r>
          </w:p>
        </w:tc>
      </w:tr>
      <w:tr w14:paraId="1A17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FFFFFF"/>
            <w:vAlign w:val="center"/>
          </w:tcPr>
          <w:p w14:paraId="32C678CC">
            <w:pPr>
              <w:pStyle w:val="21"/>
              <w:rPr>
                <w:rFonts w:ascii="仿宋" w:hAnsi="仿宋" w:eastAsia="仿宋"/>
                <w:sz w:val="24"/>
                <w:szCs w:val="24"/>
              </w:rPr>
            </w:pPr>
            <w:r>
              <w:rPr>
                <w:rFonts w:hint="eastAsia" w:ascii="仿宋" w:hAnsi="仿宋" w:eastAsia="仿宋"/>
                <w:sz w:val="24"/>
                <w:szCs w:val="24"/>
              </w:rPr>
              <w:t>4</w:t>
            </w:r>
          </w:p>
        </w:tc>
        <w:tc>
          <w:tcPr>
            <w:tcW w:w="1984" w:type="dxa"/>
            <w:shd w:val="clear" w:color="auto" w:fill="FFFFFF"/>
            <w:vAlign w:val="center"/>
          </w:tcPr>
          <w:p w14:paraId="16A15B7F">
            <w:pPr>
              <w:pStyle w:val="21"/>
              <w:ind w:firstLine="0" w:firstLineChars="0"/>
              <w:rPr>
                <w:rFonts w:ascii="仿宋" w:hAnsi="仿宋" w:eastAsia="仿宋"/>
                <w:sz w:val="24"/>
                <w:szCs w:val="24"/>
              </w:rPr>
            </w:pPr>
            <w:r>
              <w:rPr>
                <w:rFonts w:hint="eastAsia" w:ascii="仿宋" w:hAnsi="仿宋" w:eastAsia="仿宋"/>
                <w:sz w:val="24"/>
                <w:szCs w:val="24"/>
              </w:rPr>
              <w:t>计划管理</w:t>
            </w:r>
          </w:p>
        </w:tc>
        <w:tc>
          <w:tcPr>
            <w:tcW w:w="5245" w:type="dxa"/>
            <w:shd w:val="clear" w:color="auto" w:fill="FFFFFF"/>
            <w:vAlign w:val="center"/>
          </w:tcPr>
          <w:p w14:paraId="120CE12D">
            <w:pPr>
              <w:pStyle w:val="21"/>
              <w:ind w:firstLine="0" w:firstLineChars="0"/>
              <w:rPr>
                <w:rFonts w:ascii="仿宋" w:hAnsi="仿宋" w:eastAsia="仿宋"/>
                <w:sz w:val="24"/>
                <w:szCs w:val="24"/>
              </w:rPr>
            </w:pPr>
            <w:r>
              <w:rPr>
                <w:rFonts w:hint="eastAsia" w:ascii="仿宋" w:hAnsi="仿宋" w:eastAsia="仿宋"/>
                <w:sz w:val="24"/>
                <w:szCs w:val="24"/>
              </w:rPr>
              <w:t>根据实际工作需要制定工作计划，定时提醒基金监管人员完成工作任务。</w:t>
            </w:r>
          </w:p>
        </w:tc>
      </w:tr>
      <w:tr w14:paraId="66F0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FFFFFF"/>
            <w:vAlign w:val="center"/>
          </w:tcPr>
          <w:p w14:paraId="704BC4A3">
            <w:pPr>
              <w:pStyle w:val="21"/>
              <w:rPr>
                <w:rFonts w:ascii="仿宋" w:hAnsi="仿宋" w:eastAsia="仿宋"/>
                <w:sz w:val="24"/>
                <w:szCs w:val="24"/>
              </w:rPr>
            </w:pPr>
            <w:r>
              <w:rPr>
                <w:rFonts w:hint="eastAsia" w:ascii="仿宋" w:hAnsi="仿宋" w:eastAsia="仿宋"/>
                <w:sz w:val="24"/>
                <w:szCs w:val="24"/>
              </w:rPr>
              <w:t>5</w:t>
            </w:r>
          </w:p>
        </w:tc>
        <w:tc>
          <w:tcPr>
            <w:tcW w:w="1984" w:type="dxa"/>
            <w:shd w:val="clear" w:color="auto" w:fill="FFFFFF"/>
            <w:vAlign w:val="center"/>
          </w:tcPr>
          <w:p w14:paraId="4DB4B03E">
            <w:pPr>
              <w:pStyle w:val="21"/>
              <w:ind w:firstLine="0" w:firstLineChars="0"/>
              <w:rPr>
                <w:rFonts w:ascii="仿宋" w:hAnsi="仿宋" w:eastAsia="仿宋"/>
                <w:sz w:val="24"/>
                <w:szCs w:val="24"/>
              </w:rPr>
            </w:pPr>
            <w:r>
              <w:rPr>
                <w:rFonts w:hint="eastAsia" w:ascii="仿宋" w:hAnsi="仿宋" w:eastAsia="仿宋"/>
                <w:sz w:val="24"/>
                <w:szCs w:val="24"/>
              </w:rPr>
              <w:t>常用功能</w:t>
            </w:r>
          </w:p>
        </w:tc>
        <w:tc>
          <w:tcPr>
            <w:tcW w:w="5245" w:type="dxa"/>
            <w:shd w:val="clear" w:color="auto" w:fill="FFFFFF"/>
            <w:vAlign w:val="center"/>
          </w:tcPr>
          <w:p w14:paraId="6084F074">
            <w:pPr>
              <w:pStyle w:val="21"/>
              <w:ind w:firstLine="0" w:firstLineChars="0"/>
              <w:rPr>
                <w:rFonts w:ascii="仿宋" w:hAnsi="仿宋" w:eastAsia="仿宋"/>
                <w:sz w:val="24"/>
                <w:szCs w:val="24"/>
              </w:rPr>
            </w:pPr>
            <w:r>
              <w:rPr>
                <w:rFonts w:hint="eastAsia" w:ascii="仿宋" w:hAnsi="仿宋" w:eastAsia="仿宋"/>
                <w:sz w:val="24"/>
                <w:szCs w:val="24"/>
              </w:rPr>
              <w:t>根据实际工作需要选择常用管理功能模块，用于快速进入工作状态的入口</w:t>
            </w:r>
          </w:p>
        </w:tc>
      </w:tr>
      <w:tr w14:paraId="5A69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shd w:val="clear" w:color="auto" w:fill="FFFFFF"/>
            <w:vAlign w:val="center"/>
          </w:tcPr>
          <w:p w14:paraId="15F184B1">
            <w:pPr>
              <w:pStyle w:val="21"/>
              <w:rPr>
                <w:rFonts w:ascii="仿宋" w:hAnsi="仿宋" w:eastAsia="仿宋"/>
                <w:sz w:val="24"/>
                <w:szCs w:val="24"/>
              </w:rPr>
            </w:pPr>
            <w:r>
              <w:rPr>
                <w:rFonts w:hint="eastAsia" w:ascii="仿宋" w:hAnsi="仿宋" w:eastAsia="仿宋"/>
                <w:sz w:val="24"/>
                <w:szCs w:val="24"/>
              </w:rPr>
              <w:t>6</w:t>
            </w:r>
          </w:p>
        </w:tc>
        <w:tc>
          <w:tcPr>
            <w:tcW w:w="1984" w:type="dxa"/>
            <w:shd w:val="clear" w:color="auto" w:fill="FFFFFF"/>
            <w:vAlign w:val="center"/>
          </w:tcPr>
          <w:p w14:paraId="71EA78DB">
            <w:pPr>
              <w:pStyle w:val="21"/>
              <w:ind w:firstLine="0" w:firstLineChars="0"/>
              <w:rPr>
                <w:rFonts w:ascii="仿宋" w:hAnsi="仿宋" w:eastAsia="仿宋"/>
                <w:sz w:val="24"/>
                <w:szCs w:val="24"/>
              </w:rPr>
            </w:pPr>
            <w:r>
              <w:rPr>
                <w:rFonts w:hint="eastAsia" w:ascii="仿宋" w:hAnsi="仿宋" w:eastAsia="仿宋"/>
                <w:sz w:val="24"/>
                <w:szCs w:val="24"/>
              </w:rPr>
              <w:t>通讯录</w:t>
            </w:r>
          </w:p>
        </w:tc>
        <w:tc>
          <w:tcPr>
            <w:tcW w:w="5245" w:type="dxa"/>
            <w:shd w:val="clear" w:color="auto" w:fill="FFFFFF"/>
            <w:vAlign w:val="center"/>
          </w:tcPr>
          <w:p w14:paraId="11F73BA7">
            <w:pPr>
              <w:pStyle w:val="21"/>
              <w:ind w:firstLine="0" w:firstLineChars="0"/>
              <w:rPr>
                <w:rFonts w:ascii="仿宋" w:hAnsi="仿宋" w:eastAsia="仿宋"/>
                <w:sz w:val="24"/>
                <w:szCs w:val="24"/>
              </w:rPr>
            </w:pPr>
            <w:r>
              <w:rPr>
                <w:rFonts w:hint="eastAsia" w:ascii="仿宋" w:hAnsi="仿宋" w:eastAsia="仿宋"/>
                <w:sz w:val="24"/>
                <w:szCs w:val="24"/>
              </w:rPr>
              <w:t>用于快速查找基金监管人员联系方式的快速入口，包含单位、职位、电话、邮件等信息。</w:t>
            </w:r>
          </w:p>
        </w:tc>
      </w:tr>
    </w:tbl>
    <w:p w14:paraId="176F39AA">
      <w:pPr>
        <w:spacing w:line="360" w:lineRule="auto"/>
        <w:ind w:left="0" w:leftChars="0" w:firstLine="640" w:firstLineChars="200"/>
        <w:outlineLvl w:val="3"/>
        <w:rPr>
          <w:rFonts w:ascii="仿宋" w:hAnsi="仿宋" w:eastAsia="仿宋"/>
          <w:sz w:val="32"/>
          <w:szCs w:val="32"/>
        </w:rPr>
      </w:pPr>
      <w:bookmarkStart w:id="1" w:name="_Toc184318806"/>
      <w:r>
        <w:rPr>
          <w:rFonts w:hint="eastAsia" w:ascii="仿宋" w:hAnsi="仿宋" w:eastAsia="仿宋"/>
          <w:sz w:val="32"/>
          <w:szCs w:val="32"/>
        </w:rPr>
        <w:t>2.监督检查</w:t>
      </w:r>
      <w:bookmarkEnd w:id="1"/>
    </w:p>
    <w:p w14:paraId="7F2639B2">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由非现场检查、现场检查、专项检查、审计专项检查四个子模块组成</w:t>
      </w:r>
      <w:r>
        <w:rPr>
          <w:rFonts w:hint="eastAsia" w:ascii="仿宋" w:hAnsi="仿宋" w:eastAsia="仿宋"/>
          <w:color w:val="000000" w:themeColor="text1"/>
          <w:sz w:val="32"/>
          <w:szCs w:val="32"/>
          <w14:textFill>
            <w14:solidFill>
              <w14:schemeClr w14:val="tx1"/>
            </w14:solidFill>
          </w14:textFill>
        </w:rPr>
        <w:t>。第一：非现场检查是将企业职工养老保险、机关失业养老保险、城乡居民养老保险、失业保险、工伤保险五个险种基金业务数据与基金财务数据，以及其它外部数据包括司法服刑数据、卫建与民政死亡数据、公安户籍等数据进行数据归集，基于人社部、贵州省本地预警规则进行数据分析与筛查比对，发现问题数据，与稽核内控疑点信息进行对比去重，最终生成预警信息。另外，社保基金监管人员可自定义数据分析，利用系统集成功能完成数据的筛查并形成预警数据。</w:t>
      </w:r>
      <w:r>
        <w:rPr>
          <w:rFonts w:hint="eastAsia" w:ascii="仿宋" w:hAnsi="仿宋" w:eastAsia="仿宋"/>
          <w:sz w:val="32"/>
          <w:szCs w:val="32"/>
        </w:rPr>
        <w:t>将产生的预警信息转发至社保经办机构，并通过部级社会保险稽核系统或贵州省社会保险基金监管系统将预警数据派发至本级相应部门及下级社会保险经办机构，明确核查内容和核查时限。第二：现场检查由基金监管部门组织开展的现场检查，对发现的问题情况与整改情况跟踪落实。第三：专项检查根据人社部或贵州省统一部署、或非现场检查发现重大问题线索等情况，进行现场检查对发现的问题情况与整改情况跟踪落实。第四：审计专项检查是根据审计部门检查发现的问题，对其整改情况与调度情况进行跟踪落实。</w:t>
      </w:r>
    </w:p>
    <w:tbl>
      <w:tblPr>
        <w:tblStyle w:val="15"/>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101"/>
        <w:gridCol w:w="1328"/>
        <w:gridCol w:w="1393"/>
        <w:gridCol w:w="4542"/>
      </w:tblGrid>
      <w:tr w14:paraId="086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0" w:hRule="atLeast"/>
        </w:trPr>
        <w:tc>
          <w:tcPr>
            <w:tcW w:w="1101" w:type="dxa"/>
            <w:shd w:val="clear" w:color="auto" w:fill="FFFFFF"/>
            <w:vAlign w:val="center"/>
          </w:tcPr>
          <w:p w14:paraId="3011A6A5">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721" w:type="dxa"/>
            <w:gridSpan w:val="2"/>
            <w:shd w:val="clear" w:color="auto" w:fill="FFFFFF"/>
            <w:vAlign w:val="center"/>
          </w:tcPr>
          <w:p w14:paraId="1751FEC0">
            <w:pPr>
              <w:pStyle w:val="21"/>
              <w:rPr>
                <w:rFonts w:ascii="仿宋" w:hAnsi="仿宋" w:eastAsia="仿宋"/>
                <w:sz w:val="24"/>
                <w:szCs w:val="28"/>
              </w:rPr>
            </w:pPr>
            <w:r>
              <w:rPr>
                <w:rFonts w:hint="eastAsia" w:ascii="仿宋" w:hAnsi="仿宋" w:eastAsia="仿宋"/>
                <w:sz w:val="24"/>
                <w:szCs w:val="28"/>
              </w:rPr>
              <w:t>事项名称</w:t>
            </w:r>
          </w:p>
        </w:tc>
        <w:tc>
          <w:tcPr>
            <w:tcW w:w="4542" w:type="dxa"/>
            <w:shd w:val="clear" w:color="auto" w:fill="FFFFFF"/>
            <w:vAlign w:val="center"/>
          </w:tcPr>
          <w:p w14:paraId="2CF106AF">
            <w:pPr>
              <w:pStyle w:val="21"/>
              <w:rPr>
                <w:rFonts w:ascii="仿宋" w:hAnsi="仿宋" w:eastAsia="仿宋"/>
                <w:sz w:val="24"/>
                <w:szCs w:val="28"/>
              </w:rPr>
            </w:pPr>
            <w:r>
              <w:rPr>
                <w:rFonts w:hint="eastAsia" w:ascii="仿宋" w:hAnsi="仿宋" w:eastAsia="仿宋"/>
                <w:sz w:val="24"/>
                <w:szCs w:val="28"/>
              </w:rPr>
              <w:t>需求描述</w:t>
            </w:r>
          </w:p>
        </w:tc>
      </w:tr>
      <w:tr w14:paraId="29EB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vMerge w:val="restart"/>
            <w:shd w:val="clear" w:color="auto" w:fill="FFFFFF"/>
            <w:vAlign w:val="center"/>
          </w:tcPr>
          <w:p w14:paraId="6A8EE7E0">
            <w:pPr>
              <w:pStyle w:val="21"/>
              <w:rPr>
                <w:rFonts w:ascii="仿宋" w:hAnsi="仿宋" w:eastAsia="仿宋"/>
                <w:sz w:val="24"/>
                <w:szCs w:val="28"/>
              </w:rPr>
            </w:pPr>
            <w:r>
              <w:rPr>
                <w:rFonts w:hint="eastAsia" w:ascii="仿宋" w:hAnsi="仿宋" w:eastAsia="仿宋"/>
                <w:sz w:val="24"/>
                <w:szCs w:val="28"/>
              </w:rPr>
              <w:t>1</w:t>
            </w:r>
          </w:p>
        </w:tc>
        <w:tc>
          <w:tcPr>
            <w:tcW w:w="1328" w:type="dxa"/>
            <w:vMerge w:val="restart"/>
            <w:shd w:val="clear" w:color="auto" w:fill="FFFFFF"/>
            <w:vAlign w:val="center"/>
          </w:tcPr>
          <w:p w14:paraId="2CEEF015">
            <w:pPr>
              <w:pStyle w:val="21"/>
              <w:ind w:firstLine="0" w:firstLineChars="0"/>
              <w:rPr>
                <w:rFonts w:ascii="仿宋" w:hAnsi="仿宋" w:eastAsia="仿宋"/>
                <w:sz w:val="24"/>
                <w:szCs w:val="28"/>
              </w:rPr>
            </w:pPr>
            <w:r>
              <w:rPr>
                <w:rFonts w:hint="eastAsia" w:ascii="仿宋" w:hAnsi="仿宋" w:eastAsia="仿宋"/>
                <w:sz w:val="24"/>
                <w:szCs w:val="28"/>
              </w:rPr>
              <w:t>非现场检查</w:t>
            </w:r>
          </w:p>
        </w:tc>
        <w:tc>
          <w:tcPr>
            <w:tcW w:w="1393" w:type="dxa"/>
            <w:shd w:val="clear" w:color="auto" w:fill="FFFFFF"/>
            <w:vAlign w:val="center"/>
          </w:tcPr>
          <w:p w14:paraId="1CDA7AFB">
            <w:pPr>
              <w:pStyle w:val="21"/>
              <w:ind w:firstLine="0" w:firstLineChars="0"/>
              <w:rPr>
                <w:rFonts w:ascii="仿宋" w:hAnsi="仿宋" w:eastAsia="仿宋"/>
                <w:sz w:val="24"/>
                <w:szCs w:val="28"/>
              </w:rPr>
            </w:pPr>
            <w:r>
              <w:rPr>
                <w:rFonts w:hint="eastAsia" w:ascii="仿宋" w:hAnsi="仿宋" w:eastAsia="仿宋"/>
                <w:sz w:val="24"/>
                <w:szCs w:val="28"/>
              </w:rPr>
              <w:t>统计分析</w:t>
            </w:r>
          </w:p>
        </w:tc>
        <w:tc>
          <w:tcPr>
            <w:tcW w:w="4542" w:type="dxa"/>
            <w:shd w:val="clear" w:color="auto" w:fill="FFFFFF"/>
            <w:vAlign w:val="center"/>
          </w:tcPr>
          <w:p w14:paraId="0845B777">
            <w:pPr>
              <w:pStyle w:val="21"/>
              <w:ind w:firstLine="0" w:firstLineChars="0"/>
              <w:rPr>
                <w:rFonts w:ascii="仿宋" w:hAnsi="仿宋" w:eastAsia="仿宋"/>
                <w:sz w:val="24"/>
                <w:szCs w:val="28"/>
              </w:rPr>
            </w:pPr>
            <w:r>
              <w:rPr>
                <w:rFonts w:hint="eastAsia" w:ascii="仿宋" w:hAnsi="仿宋" w:eastAsia="仿宋"/>
                <w:sz w:val="24"/>
                <w:szCs w:val="28"/>
              </w:rPr>
              <w:t>汇总统计（贵州省、地市、区县）各险种预警信息的发现问题数、核查、整改、涉及金额、追回金额等情况。</w:t>
            </w:r>
          </w:p>
        </w:tc>
      </w:tr>
      <w:tr w14:paraId="577C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vMerge w:val="continue"/>
            <w:shd w:val="clear" w:color="auto" w:fill="FFFFFF"/>
            <w:vAlign w:val="center"/>
          </w:tcPr>
          <w:p w14:paraId="19856C02">
            <w:pPr>
              <w:pStyle w:val="21"/>
              <w:rPr>
                <w:rFonts w:ascii="仿宋" w:hAnsi="仿宋" w:eastAsia="仿宋"/>
                <w:sz w:val="24"/>
                <w:szCs w:val="28"/>
              </w:rPr>
            </w:pPr>
          </w:p>
        </w:tc>
        <w:tc>
          <w:tcPr>
            <w:tcW w:w="1328" w:type="dxa"/>
            <w:vMerge w:val="continue"/>
            <w:shd w:val="clear" w:color="auto" w:fill="FFFFFF"/>
            <w:vAlign w:val="center"/>
          </w:tcPr>
          <w:p w14:paraId="64C8D7E8">
            <w:pPr>
              <w:pStyle w:val="21"/>
              <w:rPr>
                <w:rFonts w:ascii="仿宋" w:hAnsi="仿宋" w:eastAsia="仿宋"/>
                <w:sz w:val="24"/>
                <w:szCs w:val="28"/>
              </w:rPr>
            </w:pPr>
          </w:p>
        </w:tc>
        <w:tc>
          <w:tcPr>
            <w:tcW w:w="1393" w:type="dxa"/>
            <w:shd w:val="clear" w:color="auto" w:fill="FFFFFF"/>
            <w:vAlign w:val="center"/>
          </w:tcPr>
          <w:p w14:paraId="23819870">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高级查询</w:t>
            </w:r>
          </w:p>
        </w:tc>
        <w:tc>
          <w:tcPr>
            <w:tcW w:w="4542" w:type="dxa"/>
            <w:shd w:val="clear" w:color="auto" w:fill="FFFFFF"/>
            <w:vAlign w:val="center"/>
          </w:tcPr>
          <w:p w14:paraId="4B9F39C7">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将各险种业务数据以直观的方式展现，利用系统集成功能完成数据的筛查并形成预警数据。</w:t>
            </w:r>
          </w:p>
        </w:tc>
      </w:tr>
      <w:tr w14:paraId="096F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14:paraId="13131054">
            <w:pPr>
              <w:pStyle w:val="21"/>
              <w:rPr>
                <w:rFonts w:ascii="仿宋" w:hAnsi="仿宋" w:eastAsia="仿宋"/>
                <w:sz w:val="24"/>
                <w:szCs w:val="28"/>
              </w:rPr>
            </w:pPr>
            <w:r>
              <w:rPr>
                <w:rFonts w:hint="eastAsia" w:ascii="仿宋" w:hAnsi="仿宋" w:eastAsia="仿宋"/>
                <w:sz w:val="24"/>
                <w:szCs w:val="28"/>
              </w:rPr>
              <w:t>2</w:t>
            </w:r>
          </w:p>
        </w:tc>
        <w:tc>
          <w:tcPr>
            <w:tcW w:w="1328" w:type="dxa"/>
            <w:vMerge w:val="continue"/>
            <w:shd w:val="clear" w:color="auto" w:fill="FFFFFF"/>
            <w:vAlign w:val="center"/>
          </w:tcPr>
          <w:p w14:paraId="7DCD599B">
            <w:pPr>
              <w:pStyle w:val="21"/>
              <w:rPr>
                <w:rFonts w:ascii="仿宋" w:hAnsi="仿宋" w:eastAsia="仿宋"/>
                <w:sz w:val="24"/>
                <w:szCs w:val="28"/>
              </w:rPr>
            </w:pPr>
          </w:p>
        </w:tc>
        <w:tc>
          <w:tcPr>
            <w:tcW w:w="1393" w:type="dxa"/>
            <w:shd w:val="clear" w:color="auto" w:fill="FFFFFF"/>
            <w:vAlign w:val="center"/>
          </w:tcPr>
          <w:p w14:paraId="30BA581A">
            <w:pPr>
              <w:pStyle w:val="21"/>
              <w:ind w:firstLine="0" w:firstLineChars="0"/>
              <w:rPr>
                <w:rFonts w:ascii="仿宋" w:hAnsi="仿宋" w:eastAsia="仿宋"/>
                <w:sz w:val="24"/>
                <w:szCs w:val="28"/>
              </w:rPr>
            </w:pPr>
            <w:r>
              <w:rPr>
                <w:rFonts w:hint="eastAsia" w:ascii="仿宋" w:hAnsi="仿宋" w:eastAsia="仿宋"/>
                <w:sz w:val="24"/>
                <w:szCs w:val="28"/>
              </w:rPr>
              <w:t>预警筛查</w:t>
            </w:r>
          </w:p>
        </w:tc>
        <w:tc>
          <w:tcPr>
            <w:tcW w:w="4542" w:type="dxa"/>
            <w:shd w:val="clear" w:color="auto" w:fill="FFFFFF"/>
            <w:vAlign w:val="center"/>
          </w:tcPr>
          <w:p w14:paraId="0E59E6F6">
            <w:pPr>
              <w:pStyle w:val="21"/>
              <w:ind w:firstLine="0" w:firstLineChars="0"/>
              <w:rPr>
                <w:rFonts w:ascii="仿宋" w:hAnsi="仿宋" w:eastAsia="仿宋"/>
                <w:sz w:val="24"/>
                <w:szCs w:val="28"/>
              </w:rPr>
            </w:pPr>
            <w:r>
              <w:rPr>
                <w:rFonts w:hint="eastAsia" w:ascii="仿宋" w:hAnsi="仿宋" w:eastAsia="仿宋"/>
                <w:sz w:val="24"/>
                <w:szCs w:val="28"/>
              </w:rPr>
              <w:t>各险种基金业务数据、基金财务数据，以及其它外部数据包括司法服刑数据、卫建与民政死亡数据、公安户籍等数据进行数据归集，基于人社部、贵州省本地预警规则进行数据分析与筛查比对，发现问题数据，与稽核内控疑点信息进行对比去重，最终生成预警信息。</w:t>
            </w:r>
          </w:p>
        </w:tc>
      </w:tr>
      <w:tr w14:paraId="3938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29E8C575">
            <w:pPr>
              <w:pStyle w:val="21"/>
              <w:rPr>
                <w:rFonts w:ascii="仿宋" w:hAnsi="仿宋" w:eastAsia="仿宋"/>
                <w:sz w:val="24"/>
                <w:szCs w:val="28"/>
              </w:rPr>
            </w:pPr>
            <w:r>
              <w:rPr>
                <w:rFonts w:hint="eastAsia" w:ascii="仿宋" w:hAnsi="仿宋" w:eastAsia="仿宋"/>
                <w:sz w:val="24"/>
                <w:szCs w:val="28"/>
              </w:rPr>
              <w:t>3</w:t>
            </w:r>
          </w:p>
        </w:tc>
        <w:tc>
          <w:tcPr>
            <w:tcW w:w="1328" w:type="dxa"/>
            <w:vMerge w:val="continue"/>
            <w:shd w:val="clear" w:color="auto" w:fill="FFFFFF"/>
            <w:vAlign w:val="center"/>
          </w:tcPr>
          <w:p w14:paraId="29A48AD4">
            <w:pPr>
              <w:pStyle w:val="21"/>
              <w:rPr>
                <w:rFonts w:ascii="仿宋" w:hAnsi="仿宋" w:eastAsia="仿宋"/>
                <w:sz w:val="24"/>
                <w:szCs w:val="28"/>
              </w:rPr>
            </w:pPr>
          </w:p>
        </w:tc>
        <w:tc>
          <w:tcPr>
            <w:tcW w:w="1393" w:type="dxa"/>
            <w:shd w:val="clear" w:color="auto" w:fill="FFFFFF"/>
            <w:vAlign w:val="center"/>
          </w:tcPr>
          <w:p w14:paraId="4927E0FF">
            <w:pPr>
              <w:pStyle w:val="21"/>
              <w:ind w:firstLine="0" w:firstLineChars="0"/>
              <w:rPr>
                <w:rFonts w:ascii="仿宋" w:hAnsi="仿宋" w:eastAsia="仿宋"/>
                <w:sz w:val="24"/>
                <w:szCs w:val="28"/>
              </w:rPr>
            </w:pPr>
            <w:r>
              <w:rPr>
                <w:rFonts w:hint="eastAsia" w:ascii="仿宋" w:hAnsi="仿宋" w:eastAsia="仿宋"/>
                <w:sz w:val="24"/>
                <w:szCs w:val="28"/>
              </w:rPr>
              <w:t>预警派发</w:t>
            </w:r>
          </w:p>
        </w:tc>
        <w:tc>
          <w:tcPr>
            <w:tcW w:w="4542" w:type="dxa"/>
            <w:shd w:val="clear" w:color="auto" w:fill="FFFFFF"/>
            <w:vAlign w:val="center"/>
          </w:tcPr>
          <w:p w14:paraId="73802AD2">
            <w:pPr>
              <w:pStyle w:val="21"/>
              <w:ind w:firstLine="0" w:firstLineChars="0"/>
              <w:rPr>
                <w:rFonts w:ascii="仿宋" w:hAnsi="仿宋" w:eastAsia="仿宋"/>
                <w:sz w:val="24"/>
                <w:szCs w:val="28"/>
              </w:rPr>
            </w:pPr>
            <w:r>
              <w:rPr>
                <w:rFonts w:hint="eastAsia" w:ascii="仿宋" w:hAnsi="仿宋" w:eastAsia="仿宋"/>
                <w:sz w:val="24"/>
                <w:szCs w:val="28"/>
              </w:rPr>
              <w:t>基金监管部门转发预警信息至社保经办机构， 并通过部级社会保险稽核系统或贵州省业务系统将预警数据派发至本级相应部门及下级社会保险经办机构，明确核查内容和核查时限。</w:t>
            </w:r>
          </w:p>
        </w:tc>
      </w:tr>
      <w:tr w14:paraId="76F8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20C696C8">
            <w:pPr>
              <w:pStyle w:val="21"/>
              <w:rPr>
                <w:rFonts w:ascii="仿宋" w:hAnsi="仿宋" w:eastAsia="仿宋"/>
                <w:sz w:val="24"/>
                <w:szCs w:val="28"/>
              </w:rPr>
            </w:pPr>
            <w:r>
              <w:rPr>
                <w:rFonts w:hint="eastAsia" w:ascii="仿宋" w:hAnsi="仿宋" w:eastAsia="仿宋"/>
                <w:sz w:val="24"/>
                <w:szCs w:val="28"/>
              </w:rPr>
              <w:t>4</w:t>
            </w:r>
          </w:p>
        </w:tc>
        <w:tc>
          <w:tcPr>
            <w:tcW w:w="1328" w:type="dxa"/>
            <w:vMerge w:val="continue"/>
            <w:shd w:val="clear" w:color="auto" w:fill="FFFFFF"/>
            <w:vAlign w:val="center"/>
          </w:tcPr>
          <w:p w14:paraId="354976F0">
            <w:pPr>
              <w:pStyle w:val="21"/>
              <w:rPr>
                <w:rFonts w:ascii="仿宋" w:hAnsi="仿宋" w:eastAsia="仿宋"/>
                <w:sz w:val="24"/>
                <w:szCs w:val="28"/>
              </w:rPr>
            </w:pPr>
          </w:p>
        </w:tc>
        <w:tc>
          <w:tcPr>
            <w:tcW w:w="1393" w:type="dxa"/>
            <w:shd w:val="clear" w:color="auto" w:fill="FFFFFF"/>
            <w:vAlign w:val="center"/>
          </w:tcPr>
          <w:p w14:paraId="7DA5CD4D">
            <w:pPr>
              <w:pStyle w:val="21"/>
              <w:ind w:firstLine="0" w:firstLineChars="0"/>
              <w:rPr>
                <w:rFonts w:ascii="仿宋" w:hAnsi="仿宋" w:eastAsia="仿宋"/>
                <w:sz w:val="24"/>
                <w:szCs w:val="28"/>
              </w:rPr>
            </w:pPr>
            <w:r>
              <w:rPr>
                <w:rFonts w:hint="eastAsia" w:ascii="仿宋" w:hAnsi="仿宋" w:eastAsia="仿宋"/>
                <w:sz w:val="24"/>
                <w:szCs w:val="28"/>
              </w:rPr>
              <w:t>预警核查</w:t>
            </w:r>
          </w:p>
        </w:tc>
        <w:tc>
          <w:tcPr>
            <w:tcW w:w="4542" w:type="dxa"/>
            <w:shd w:val="clear" w:color="auto" w:fill="FFFFFF"/>
            <w:vAlign w:val="center"/>
          </w:tcPr>
          <w:p w14:paraId="0BD66C25">
            <w:pPr>
              <w:pStyle w:val="21"/>
              <w:ind w:firstLine="0" w:firstLineChars="0"/>
              <w:rPr>
                <w:rFonts w:ascii="仿宋" w:hAnsi="仿宋" w:eastAsia="仿宋"/>
                <w:sz w:val="24"/>
                <w:szCs w:val="28"/>
              </w:rPr>
            </w:pPr>
            <w:r>
              <w:rPr>
                <w:rFonts w:hint="eastAsia" w:ascii="仿宋" w:hAnsi="仿宋" w:eastAsia="仿宋"/>
                <w:sz w:val="24"/>
                <w:szCs w:val="28"/>
              </w:rPr>
              <w:t>社保经办机构接收到预警数据后，组织核查，逐条整理预警数据相关佐证材料，填报内容包括是否存在问题、分题分类、是否整改、涉及金额、追回金额。</w:t>
            </w:r>
          </w:p>
        </w:tc>
      </w:tr>
      <w:tr w14:paraId="2527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76FFB601">
            <w:pPr>
              <w:pStyle w:val="21"/>
              <w:rPr>
                <w:rFonts w:ascii="仿宋" w:hAnsi="仿宋" w:eastAsia="仿宋"/>
                <w:sz w:val="24"/>
                <w:szCs w:val="28"/>
              </w:rPr>
            </w:pPr>
            <w:r>
              <w:rPr>
                <w:rFonts w:hint="eastAsia" w:ascii="仿宋" w:hAnsi="仿宋" w:eastAsia="仿宋"/>
                <w:sz w:val="24"/>
                <w:szCs w:val="28"/>
              </w:rPr>
              <w:t>5</w:t>
            </w:r>
          </w:p>
        </w:tc>
        <w:tc>
          <w:tcPr>
            <w:tcW w:w="1328" w:type="dxa"/>
            <w:vMerge w:val="continue"/>
            <w:shd w:val="clear" w:color="auto" w:fill="FFFFFF"/>
            <w:vAlign w:val="center"/>
          </w:tcPr>
          <w:p w14:paraId="747B7F0A">
            <w:pPr>
              <w:pStyle w:val="21"/>
              <w:rPr>
                <w:rFonts w:ascii="仿宋" w:hAnsi="仿宋" w:eastAsia="仿宋"/>
                <w:sz w:val="24"/>
                <w:szCs w:val="28"/>
              </w:rPr>
            </w:pPr>
          </w:p>
        </w:tc>
        <w:tc>
          <w:tcPr>
            <w:tcW w:w="1393" w:type="dxa"/>
            <w:shd w:val="clear" w:color="auto" w:fill="FFFFFF"/>
            <w:vAlign w:val="center"/>
          </w:tcPr>
          <w:p w14:paraId="006634E8">
            <w:pPr>
              <w:pStyle w:val="21"/>
              <w:ind w:firstLine="0" w:firstLineChars="0"/>
              <w:rPr>
                <w:rFonts w:ascii="仿宋" w:hAnsi="仿宋" w:eastAsia="仿宋"/>
                <w:sz w:val="24"/>
                <w:szCs w:val="28"/>
              </w:rPr>
            </w:pPr>
            <w:r>
              <w:rPr>
                <w:rFonts w:hint="eastAsia" w:ascii="仿宋" w:hAnsi="仿宋" w:eastAsia="仿宋"/>
                <w:sz w:val="24"/>
                <w:szCs w:val="28"/>
              </w:rPr>
              <w:t>预警审核</w:t>
            </w:r>
          </w:p>
        </w:tc>
        <w:tc>
          <w:tcPr>
            <w:tcW w:w="4542" w:type="dxa"/>
            <w:shd w:val="clear" w:color="auto" w:fill="FFFFFF"/>
            <w:vAlign w:val="center"/>
          </w:tcPr>
          <w:p w14:paraId="42B082DF">
            <w:pPr>
              <w:pStyle w:val="21"/>
              <w:ind w:firstLine="0" w:firstLineChars="0"/>
              <w:rPr>
                <w:rFonts w:ascii="仿宋" w:hAnsi="仿宋" w:eastAsia="仿宋"/>
                <w:sz w:val="24"/>
                <w:szCs w:val="28"/>
              </w:rPr>
            </w:pPr>
            <w:r>
              <w:rPr>
                <w:rFonts w:hint="eastAsia" w:ascii="仿宋" w:hAnsi="仿宋" w:eastAsia="仿宋"/>
                <w:sz w:val="24"/>
                <w:szCs w:val="28"/>
              </w:rPr>
              <w:t>社保经办机构稽核内控部门审核预警数据核查情况的准确性和佐证材料真实性，基金监管部门每季度按一定比例对预警数据核查结果进行抽查。</w:t>
            </w:r>
          </w:p>
        </w:tc>
      </w:tr>
      <w:tr w14:paraId="3B62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1B055964">
            <w:pPr>
              <w:pStyle w:val="21"/>
              <w:rPr>
                <w:rFonts w:ascii="仿宋" w:hAnsi="仿宋" w:eastAsia="仿宋"/>
                <w:sz w:val="24"/>
                <w:szCs w:val="28"/>
              </w:rPr>
            </w:pPr>
            <w:r>
              <w:rPr>
                <w:rFonts w:hint="eastAsia" w:ascii="仿宋" w:hAnsi="仿宋" w:eastAsia="仿宋"/>
                <w:sz w:val="24"/>
                <w:szCs w:val="28"/>
              </w:rPr>
              <w:t>6</w:t>
            </w:r>
          </w:p>
        </w:tc>
        <w:tc>
          <w:tcPr>
            <w:tcW w:w="1328" w:type="dxa"/>
            <w:vMerge w:val="continue"/>
            <w:shd w:val="clear" w:color="auto" w:fill="FFFFFF"/>
            <w:vAlign w:val="center"/>
          </w:tcPr>
          <w:p w14:paraId="2E616B88">
            <w:pPr>
              <w:pStyle w:val="21"/>
              <w:rPr>
                <w:rFonts w:ascii="仿宋" w:hAnsi="仿宋" w:eastAsia="仿宋"/>
                <w:sz w:val="24"/>
                <w:szCs w:val="28"/>
              </w:rPr>
            </w:pPr>
          </w:p>
        </w:tc>
        <w:tc>
          <w:tcPr>
            <w:tcW w:w="1393" w:type="dxa"/>
            <w:shd w:val="clear" w:color="auto" w:fill="FFFFFF"/>
            <w:vAlign w:val="center"/>
          </w:tcPr>
          <w:p w14:paraId="24034719">
            <w:pPr>
              <w:pStyle w:val="21"/>
              <w:ind w:firstLine="0" w:firstLineChars="0"/>
              <w:rPr>
                <w:rFonts w:ascii="仿宋" w:hAnsi="仿宋" w:eastAsia="仿宋"/>
                <w:sz w:val="24"/>
                <w:szCs w:val="28"/>
              </w:rPr>
            </w:pPr>
            <w:r>
              <w:rPr>
                <w:rFonts w:hint="eastAsia" w:ascii="仿宋" w:hAnsi="仿宋" w:eastAsia="仿宋"/>
                <w:sz w:val="24"/>
                <w:szCs w:val="28"/>
              </w:rPr>
              <w:t>预警反馈</w:t>
            </w:r>
          </w:p>
        </w:tc>
        <w:tc>
          <w:tcPr>
            <w:tcW w:w="4542" w:type="dxa"/>
            <w:shd w:val="clear" w:color="auto" w:fill="FFFFFF"/>
            <w:vAlign w:val="center"/>
          </w:tcPr>
          <w:p w14:paraId="21F4B55A">
            <w:pPr>
              <w:pStyle w:val="21"/>
              <w:ind w:firstLine="0" w:firstLineChars="0"/>
              <w:rPr>
                <w:rFonts w:ascii="仿宋" w:hAnsi="仿宋" w:eastAsia="仿宋"/>
                <w:sz w:val="24"/>
                <w:szCs w:val="28"/>
              </w:rPr>
            </w:pPr>
            <w:r>
              <w:rPr>
                <w:rFonts w:hint="eastAsia" w:ascii="仿宋" w:hAnsi="仿宋" w:eastAsia="仿宋"/>
                <w:sz w:val="24"/>
                <w:szCs w:val="28"/>
              </w:rPr>
              <w:t>基金监管部门审核预警数据核查情况，对核查不认真、不彻底、仍存在预警数据的地区，反馈并责成本级相应部门及下级社会保险经办机构再次进行核查、核实。</w:t>
            </w:r>
          </w:p>
        </w:tc>
      </w:tr>
      <w:tr w14:paraId="1DED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47E8370D">
            <w:pPr>
              <w:pStyle w:val="21"/>
              <w:rPr>
                <w:rFonts w:ascii="仿宋" w:hAnsi="仿宋" w:eastAsia="仿宋"/>
                <w:sz w:val="24"/>
                <w:szCs w:val="28"/>
              </w:rPr>
            </w:pPr>
            <w:r>
              <w:rPr>
                <w:rFonts w:hint="eastAsia" w:ascii="仿宋" w:hAnsi="仿宋" w:eastAsia="仿宋"/>
                <w:sz w:val="24"/>
                <w:szCs w:val="28"/>
              </w:rPr>
              <w:t>7</w:t>
            </w:r>
          </w:p>
        </w:tc>
        <w:tc>
          <w:tcPr>
            <w:tcW w:w="1328" w:type="dxa"/>
            <w:vMerge w:val="restart"/>
            <w:shd w:val="clear" w:color="auto" w:fill="FFFFFF"/>
            <w:vAlign w:val="center"/>
          </w:tcPr>
          <w:p w14:paraId="245B4CD7">
            <w:pPr>
              <w:pStyle w:val="21"/>
              <w:ind w:firstLine="0" w:firstLineChars="0"/>
              <w:rPr>
                <w:rFonts w:ascii="仿宋" w:hAnsi="仿宋" w:eastAsia="仿宋"/>
                <w:sz w:val="24"/>
                <w:szCs w:val="28"/>
              </w:rPr>
            </w:pPr>
            <w:r>
              <w:rPr>
                <w:rFonts w:hint="eastAsia" w:ascii="仿宋" w:hAnsi="仿宋" w:eastAsia="仿宋"/>
                <w:sz w:val="24"/>
                <w:szCs w:val="28"/>
              </w:rPr>
              <w:t>现场检查</w:t>
            </w:r>
          </w:p>
        </w:tc>
        <w:tc>
          <w:tcPr>
            <w:tcW w:w="1393" w:type="dxa"/>
            <w:shd w:val="clear" w:color="auto" w:fill="FFFFFF"/>
            <w:vAlign w:val="center"/>
          </w:tcPr>
          <w:p w14:paraId="602D1A69">
            <w:pPr>
              <w:pStyle w:val="21"/>
              <w:ind w:firstLine="0" w:firstLineChars="0"/>
              <w:rPr>
                <w:rFonts w:ascii="仿宋" w:hAnsi="仿宋" w:eastAsia="仿宋"/>
                <w:sz w:val="24"/>
                <w:szCs w:val="28"/>
              </w:rPr>
            </w:pPr>
            <w:r>
              <w:rPr>
                <w:rFonts w:hint="eastAsia" w:ascii="仿宋" w:hAnsi="仿宋" w:eastAsia="仿宋"/>
                <w:sz w:val="24"/>
                <w:szCs w:val="28"/>
              </w:rPr>
              <w:t>统计分析</w:t>
            </w:r>
          </w:p>
        </w:tc>
        <w:tc>
          <w:tcPr>
            <w:tcW w:w="4542" w:type="dxa"/>
            <w:shd w:val="clear" w:color="auto" w:fill="FFFFFF"/>
            <w:vAlign w:val="center"/>
          </w:tcPr>
          <w:p w14:paraId="3237C28E">
            <w:pPr>
              <w:pStyle w:val="21"/>
              <w:ind w:firstLine="0" w:firstLineChars="0"/>
              <w:rPr>
                <w:rFonts w:ascii="仿宋" w:hAnsi="仿宋" w:eastAsia="仿宋"/>
                <w:sz w:val="24"/>
                <w:szCs w:val="28"/>
              </w:rPr>
            </w:pPr>
            <w:r>
              <w:rPr>
                <w:rFonts w:hint="eastAsia" w:ascii="仿宋" w:hAnsi="仿宋" w:eastAsia="仿宋"/>
                <w:sz w:val="24"/>
                <w:szCs w:val="28"/>
              </w:rPr>
              <w:t>汇总统计（贵州省、地市、区县）基金监管部门组织开展的现场检查中发现问题数、整改情况。</w:t>
            </w:r>
          </w:p>
        </w:tc>
      </w:tr>
      <w:tr w14:paraId="6CAF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263D50DB">
            <w:pPr>
              <w:pStyle w:val="21"/>
              <w:rPr>
                <w:rFonts w:ascii="仿宋" w:hAnsi="仿宋" w:eastAsia="仿宋"/>
                <w:sz w:val="24"/>
                <w:szCs w:val="28"/>
              </w:rPr>
            </w:pPr>
            <w:r>
              <w:rPr>
                <w:rFonts w:hint="eastAsia" w:ascii="仿宋" w:hAnsi="仿宋" w:eastAsia="仿宋"/>
                <w:sz w:val="24"/>
                <w:szCs w:val="28"/>
              </w:rPr>
              <w:t>8</w:t>
            </w:r>
          </w:p>
        </w:tc>
        <w:tc>
          <w:tcPr>
            <w:tcW w:w="1328" w:type="dxa"/>
            <w:vMerge w:val="continue"/>
            <w:shd w:val="clear" w:color="auto" w:fill="FFFFFF"/>
            <w:vAlign w:val="center"/>
          </w:tcPr>
          <w:p w14:paraId="3D04F61C">
            <w:pPr>
              <w:pStyle w:val="21"/>
              <w:rPr>
                <w:rFonts w:ascii="仿宋" w:hAnsi="仿宋" w:eastAsia="仿宋"/>
                <w:sz w:val="24"/>
                <w:szCs w:val="28"/>
              </w:rPr>
            </w:pPr>
          </w:p>
        </w:tc>
        <w:tc>
          <w:tcPr>
            <w:tcW w:w="1393" w:type="dxa"/>
            <w:shd w:val="clear" w:color="auto" w:fill="FFFFFF"/>
            <w:vAlign w:val="center"/>
          </w:tcPr>
          <w:p w14:paraId="227FA309">
            <w:pPr>
              <w:pStyle w:val="21"/>
              <w:ind w:firstLine="0" w:firstLineChars="0"/>
              <w:rPr>
                <w:rFonts w:ascii="仿宋" w:hAnsi="仿宋" w:eastAsia="仿宋"/>
                <w:sz w:val="24"/>
                <w:szCs w:val="28"/>
              </w:rPr>
            </w:pPr>
            <w:r>
              <w:rPr>
                <w:rFonts w:hint="eastAsia" w:ascii="仿宋" w:hAnsi="仿宋" w:eastAsia="仿宋"/>
                <w:sz w:val="24"/>
                <w:szCs w:val="28"/>
              </w:rPr>
              <w:t>制定检查方案</w:t>
            </w:r>
          </w:p>
        </w:tc>
        <w:tc>
          <w:tcPr>
            <w:tcW w:w="4542" w:type="dxa"/>
            <w:shd w:val="clear" w:color="auto" w:fill="FFFFFF"/>
            <w:vAlign w:val="center"/>
          </w:tcPr>
          <w:p w14:paraId="7CCAD779">
            <w:pPr>
              <w:pStyle w:val="21"/>
              <w:ind w:firstLine="0" w:firstLineChars="0"/>
              <w:rPr>
                <w:rFonts w:ascii="仿宋" w:hAnsi="仿宋" w:eastAsia="仿宋"/>
                <w:sz w:val="24"/>
                <w:szCs w:val="28"/>
              </w:rPr>
            </w:pPr>
            <w:r>
              <w:rPr>
                <w:rFonts w:hint="eastAsia" w:ascii="仿宋" w:hAnsi="仿宋" w:eastAsia="仿宋"/>
                <w:sz w:val="24"/>
                <w:szCs w:val="28"/>
              </w:rPr>
              <w:t>基金监管部门确定第三方机构，制定检查方案，明确检查项目和内容、人员组成及分工、预计检查起止日期、出具检查报告时间和工作要求等。</w:t>
            </w:r>
          </w:p>
        </w:tc>
      </w:tr>
      <w:tr w14:paraId="4E6D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14:paraId="6FC90C3C">
            <w:pPr>
              <w:pStyle w:val="21"/>
              <w:rPr>
                <w:rFonts w:ascii="仿宋" w:hAnsi="仿宋" w:eastAsia="仿宋"/>
                <w:sz w:val="24"/>
                <w:szCs w:val="28"/>
              </w:rPr>
            </w:pPr>
            <w:r>
              <w:rPr>
                <w:rFonts w:hint="eastAsia" w:ascii="仿宋" w:hAnsi="仿宋" w:eastAsia="仿宋"/>
                <w:sz w:val="24"/>
                <w:szCs w:val="28"/>
              </w:rPr>
              <w:t>9</w:t>
            </w:r>
          </w:p>
        </w:tc>
        <w:tc>
          <w:tcPr>
            <w:tcW w:w="1328" w:type="dxa"/>
            <w:vMerge w:val="continue"/>
            <w:shd w:val="clear" w:color="auto" w:fill="FFFFFF"/>
            <w:vAlign w:val="center"/>
          </w:tcPr>
          <w:p w14:paraId="34EC6B8E">
            <w:pPr>
              <w:pStyle w:val="21"/>
              <w:rPr>
                <w:rFonts w:ascii="仿宋" w:hAnsi="仿宋" w:eastAsia="仿宋"/>
                <w:sz w:val="24"/>
                <w:szCs w:val="28"/>
              </w:rPr>
            </w:pPr>
          </w:p>
        </w:tc>
        <w:tc>
          <w:tcPr>
            <w:tcW w:w="1393" w:type="dxa"/>
            <w:shd w:val="clear" w:color="auto" w:fill="FFFFFF"/>
            <w:vAlign w:val="center"/>
          </w:tcPr>
          <w:p w14:paraId="10480D6F">
            <w:pPr>
              <w:pStyle w:val="21"/>
              <w:ind w:firstLine="0" w:firstLineChars="0"/>
              <w:rPr>
                <w:rFonts w:ascii="仿宋" w:hAnsi="仿宋" w:eastAsia="仿宋"/>
                <w:sz w:val="24"/>
                <w:szCs w:val="28"/>
              </w:rPr>
            </w:pPr>
            <w:r>
              <w:rPr>
                <w:rFonts w:hint="eastAsia" w:ascii="仿宋" w:hAnsi="仿宋" w:eastAsia="仿宋"/>
                <w:sz w:val="24"/>
                <w:szCs w:val="28"/>
              </w:rPr>
              <w:t>检查实施</w:t>
            </w:r>
          </w:p>
        </w:tc>
        <w:tc>
          <w:tcPr>
            <w:tcW w:w="4542" w:type="dxa"/>
            <w:shd w:val="clear" w:color="auto" w:fill="FFFFFF"/>
            <w:vAlign w:val="center"/>
          </w:tcPr>
          <w:p w14:paraId="49E5AAFB">
            <w:pPr>
              <w:pStyle w:val="21"/>
              <w:ind w:firstLine="0" w:firstLineChars="0"/>
              <w:rPr>
                <w:rFonts w:ascii="仿宋" w:hAnsi="仿宋" w:eastAsia="仿宋"/>
                <w:sz w:val="24"/>
                <w:szCs w:val="28"/>
              </w:rPr>
            </w:pPr>
            <w:r>
              <w:rPr>
                <w:rFonts w:hint="eastAsia" w:ascii="仿宋" w:hAnsi="仿宋" w:eastAsia="仿宋"/>
                <w:sz w:val="24"/>
                <w:szCs w:val="28"/>
              </w:rPr>
              <w:t>检查进场实施，检查组向被检查单位发出社会保险基金检查通知书、告知检查内容、时间和要求以及被检查单位应该配合事项，被检查单位应签订检查承诺书。</w:t>
            </w:r>
          </w:p>
        </w:tc>
      </w:tr>
      <w:tr w14:paraId="681F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32623F6C">
            <w:pPr>
              <w:pStyle w:val="21"/>
              <w:rPr>
                <w:rFonts w:ascii="仿宋" w:hAnsi="仿宋" w:eastAsia="仿宋"/>
                <w:sz w:val="24"/>
                <w:szCs w:val="28"/>
              </w:rPr>
            </w:pPr>
            <w:r>
              <w:rPr>
                <w:rFonts w:hint="eastAsia" w:ascii="仿宋" w:hAnsi="仿宋" w:eastAsia="仿宋"/>
                <w:sz w:val="24"/>
                <w:szCs w:val="28"/>
              </w:rPr>
              <w:t>10</w:t>
            </w:r>
          </w:p>
        </w:tc>
        <w:tc>
          <w:tcPr>
            <w:tcW w:w="1328" w:type="dxa"/>
            <w:vMerge w:val="continue"/>
            <w:shd w:val="clear" w:color="auto" w:fill="FFFFFF"/>
            <w:vAlign w:val="center"/>
          </w:tcPr>
          <w:p w14:paraId="0056E8E9">
            <w:pPr>
              <w:pStyle w:val="21"/>
              <w:rPr>
                <w:rFonts w:ascii="仿宋" w:hAnsi="仿宋" w:eastAsia="仿宋"/>
                <w:sz w:val="24"/>
                <w:szCs w:val="28"/>
              </w:rPr>
            </w:pPr>
          </w:p>
        </w:tc>
        <w:tc>
          <w:tcPr>
            <w:tcW w:w="1393" w:type="dxa"/>
            <w:shd w:val="clear" w:color="auto" w:fill="FFFFFF"/>
            <w:vAlign w:val="center"/>
          </w:tcPr>
          <w:p w14:paraId="4228FD3F">
            <w:pPr>
              <w:pStyle w:val="21"/>
              <w:ind w:firstLine="0" w:firstLineChars="0"/>
              <w:rPr>
                <w:rFonts w:ascii="仿宋" w:hAnsi="仿宋" w:eastAsia="仿宋"/>
                <w:sz w:val="24"/>
                <w:szCs w:val="28"/>
              </w:rPr>
            </w:pPr>
            <w:r>
              <w:rPr>
                <w:rFonts w:hint="eastAsia" w:ascii="仿宋" w:hAnsi="仿宋" w:eastAsia="仿宋"/>
                <w:sz w:val="24"/>
                <w:szCs w:val="28"/>
              </w:rPr>
              <w:t>检查取证</w:t>
            </w:r>
          </w:p>
        </w:tc>
        <w:tc>
          <w:tcPr>
            <w:tcW w:w="4542" w:type="dxa"/>
            <w:shd w:val="clear" w:color="auto" w:fill="FFFFFF"/>
            <w:vAlign w:val="center"/>
          </w:tcPr>
          <w:p w14:paraId="6125615D">
            <w:pPr>
              <w:pStyle w:val="21"/>
              <w:ind w:firstLine="0" w:firstLineChars="0"/>
              <w:rPr>
                <w:rFonts w:ascii="仿宋" w:hAnsi="仿宋" w:eastAsia="仿宋"/>
                <w:sz w:val="24"/>
                <w:szCs w:val="28"/>
              </w:rPr>
            </w:pPr>
            <w:r>
              <w:rPr>
                <w:rFonts w:hint="eastAsia" w:ascii="仿宋" w:hAnsi="仿宋" w:eastAsia="仿宋"/>
                <w:sz w:val="24"/>
                <w:szCs w:val="28"/>
              </w:rPr>
              <w:t>检查组现场检查社会保险基金有关的会计凭证、会计账簿、财务会计报告、业务档案，以及其他与社会保险基金收支、管理有关的数据、资料，向被检查单位和有关个人调查取证。</w:t>
            </w:r>
          </w:p>
        </w:tc>
      </w:tr>
      <w:tr w14:paraId="5960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0EB3794A">
            <w:pPr>
              <w:pStyle w:val="21"/>
              <w:rPr>
                <w:rFonts w:ascii="仿宋" w:hAnsi="仿宋" w:eastAsia="仿宋"/>
                <w:sz w:val="24"/>
                <w:szCs w:val="28"/>
              </w:rPr>
            </w:pPr>
            <w:r>
              <w:rPr>
                <w:rFonts w:hint="eastAsia" w:ascii="仿宋" w:hAnsi="仿宋" w:eastAsia="仿宋"/>
                <w:sz w:val="24"/>
                <w:szCs w:val="28"/>
              </w:rPr>
              <w:t>11</w:t>
            </w:r>
          </w:p>
        </w:tc>
        <w:tc>
          <w:tcPr>
            <w:tcW w:w="1328" w:type="dxa"/>
            <w:vMerge w:val="continue"/>
            <w:shd w:val="clear" w:color="auto" w:fill="FFFFFF"/>
            <w:vAlign w:val="center"/>
          </w:tcPr>
          <w:p w14:paraId="09FB8CB7">
            <w:pPr>
              <w:pStyle w:val="21"/>
              <w:rPr>
                <w:rFonts w:ascii="仿宋" w:hAnsi="仿宋" w:eastAsia="仿宋"/>
                <w:sz w:val="24"/>
                <w:szCs w:val="28"/>
              </w:rPr>
            </w:pPr>
          </w:p>
        </w:tc>
        <w:tc>
          <w:tcPr>
            <w:tcW w:w="1393" w:type="dxa"/>
            <w:shd w:val="clear" w:color="auto" w:fill="FFFFFF"/>
            <w:vAlign w:val="center"/>
          </w:tcPr>
          <w:p w14:paraId="083E87C2">
            <w:pPr>
              <w:pStyle w:val="21"/>
              <w:ind w:firstLine="0" w:firstLineChars="0"/>
              <w:rPr>
                <w:rFonts w:ascii="仿宋" w:hAnsi="仿宋" w:eastAsia="仿宋"/>
                <w:sz w:val="24"/>
                <w:szCs w:val="28"/>
              </w:rPr>
            </w:pPr>
            <w:r>
              <w:rPr>
                <w:rFonts w:hint="eastAsia" w:ascii="仿宋" w:hAnsi="仿宋" w:eastAsia="仿宋"/>
                <w:sz w:val="24"/>
                <w:szCs w:val="28"/>
              </w:rPr>
              <w:t>检查结果</w:t>
            </w:r>
          </w:p>
        </w:tc>
        <w:tc>
          <w:tcPr>
            <w:tcW w:w="4542" w:type="dxa"/>
            <w:shd w:val="clear" w:color="auto" w:fill="FFFFFF"/>
            <w:vAlign w:val="center"/>
          </w:tcPr>
          <w:p w14:paraId="44FC68F8">
            <w:pPr>
              <w:pStyle w:val="21"/>
              <w:ind w:firstLine="0" w:firstLineChars="0"/>
              <w:rPr>
                <w:rFonts w:ascii="仿宋" w:hAnsi="仿宋" w:eastAsia="仿宋"/>
                <w:sz w:val="24"/>
                <w:szCs w:val="28"/>
              </w:rPr>
            </w:pPr>
            <w:r>
              <w:rPr>
                <w:rFonts w:hint="eastAsia" w:ascii="仿宋" w:hAnsi="仿宋" w:eastAsia="仿宋"/>
                <w:sz w:val="24"/>
                <w:szCs w:val="28"/>
              </w:rPr>
              <w:t>检查组拟定检查结果报告，并送被检查单位征求意见，被检查单位如有异议，提出书面意见。检查组核实意见或异议，据实修改检查报告。</w:t>
            </w:r>
          </w:p>
        </w:tc>
      </w:tr>
      <w:tr w14:paraId="7929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3A2E0470">
            <w:pPr>
              <w:pStyle w:val="21"/>
              <w:rPr>
                <w:rFonts w:ascii="仿宋" w:hAnsi="仿宋" w:eastAsia="仿宋"/>
                <w:sz w:val="24"/>
                <w:szCs w:val="28"/>
              </w:rPr>
            </w:pPr>
            <w:r>
              <w:rPr>
                <w:rFonts w:hint="eastAsia" w:ascii="仿宋" w:hAnsi="仿宋" w:eastAsia="仿宋"/>
                <w:sz w:val="24"/>
                <w:szCs w:val="28"/>
              </w:rPr>
              <w:t>12</w:t>
            </w:r>
          </w:p>
        </w:tc>
        <w:tc>
          <w:tcPr>
            <w:tcW w:w="1328" w:type="dxa"/>
            <w:vMerge w:val="continue"/>
            <w:shd w:val="clear" w:color="auto" w:fill="FFFFFF"/>
            <w:vAlign w:val="center"/>
          </w:tcPr>
          <w:p w14:paraId="20FFB80A">
            <w:pPr>
              <w:pStyle w:val="21"/>
              <w:rPr>
                <w:rFonts w:ascii="仿宋" w:hAnsi="仿宋" w:eastAsia="仿宋"/>
                <w:sz w:val="24"/>
                <w:szCs w:val="28"/>
              </w:rPr>
            </w:pPr>
          </w:p>
        </w:tc>
        <w:tc>
          <w:tcPr>
            <w:tcW w:w="1393" w:type="dxa"/>
            <w:shd w:val="clear" w:color="auto" w:fill="FFFFFF"/>
            <w:vAlign w:val="center"/>
          </w:tcPr>
          <w:p w14:paraId="10C2DE25">
            <w:pPr>
              <w:pStyle w:val="21"/>
              <w:ind w:firstLine="0" w:firstLineChars="0"/>
              <w:rPr>
                <w:rFonts w:ascii="仿宋" w:hAnsi="仿宋" w:eastAsia="仿宋"/>
                <w:sz w:val="24"/>
                <w:szCs w:val="28"/>
              </w:rPr>
            </w:pPr>
            <w:r>
              <w:rPr>
                <w:rFonts w:hint="eastAsia" w:ascii="仿宋" w:hAnsi="仿宋" w:eastAsia="仿宋"/>
                <w:sz w:val="24"/>
                <w:szCs w:val="28"/>
              </w:rPr>
              <w:t>检查反馈处理</w:t>
            </w:r>
          </w:p>
        </w:tc>
        <w:tc>
          <w:tcPr>
            <w:tcW w:w="4542" w:type="dxa"/>
            <w:shd w:val="clear" w:color="auto" w:fill="FFFFFF"/>
            <w:vAlign w:val="center"/>
          </w:tcPr>
          <w:p w14:paraId="334771F4">
            <w:pPr>
              <w:pStyle w:val="21"/>
              <w:ind w:firstLine="0" w:firstLineChars="0"/>
              <w:rPr>
                <w:rFonts w:ascii="仿宋" w:hAnsi="仿宋" w:eastAsia="仿宋"/>
                <w:sz w:val="24"/>
                <w:szCs w:val="28"/>
              </w:rPr>
            </w:pPr>
            <w:r>
              <w:rPr>
                <w:rFonts w:hint="eastAsia" w:ascii="仿宋" w:hAnsi="仿宋" w:eastAsia="仿宋"/>
                <w:sz w:val="24"/>
                <w:szCs w:val="28"/>
              </w:rPr>
              <w:t>基金监管部门根据检查报告向出具检查意见书，对存在的问题提出整改建议，并明确整改时限和要求。被检查单位按要求进行整改，反馈并提供整改结果和相关证据。</w:t>
            </w:r>
          </w:p>
        </w:tc>
      </w:tr>
      <w:tr w14:paraId="79A2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5EEE4058">
            <w:pPr>
              <w:pStyle w:val="21"/>
              <w:rPr>
                <w:rFonts w:ascii="仿宋" w:hAnsi="仿宋" w:eastAsia="仿宋"/>
                <w:sz w:val="24"/>
                <w:szCs w:val="28"/>
              </w:rPr>
            </w:pPr>
            <w:r>
              <w:rPr>
                <w:rFonts w:hint="eastAsia" w:ascii="仿宋" w:hAnsi="仿宋" w:eastAsia="仿宋"/>
                <w:sz w:val="24"/>
                <w:szCs w:val="28"/>
              </w:rPr>
              <w:t>13</w:t>
            </w:r>
          </w:p>
        </w:tc>
        <w:tc>
          <w:tcPr>
            <w:tcW w:w="1328" w:type="dxa"/>
            <w:vMerge w:val="restart"/>
            <w:shd w:val="clear" w:color="auto" w:fill="FFFFFF"/>
            <w:vAlign w:val="center"/>
          </w:tcPr>
          <w:p w14:paraId="5C800119">
            <w:pPr>
              <w:pStyle w:val="21"/>
              <w:ind w:firstLine="0" w:firstLineChars="0"/>
              <w:rPr>
                <w:rFonts w:ascii="仿宋" w:hAnsi="仿宋" w:eastAsia="仿宋"/>
                <w:sz w:val="24"/>
                <w:szCs w:val="28"/>
              </w:rPr>
            </w:pPr>
            <w:r>
              <w:rPr>
                <w:rFonts w:hint="eastAsia" w:ascii="仿宋" w:hAnsi="仿宋" w:eastAsia="仿宋"/>
                <w:sz w:val="24"/>
                <w:szCs w:val="28"/>
              </w:rPr>
              <w:t>专项检查</w:t>
            </w:r>
          </w:p>
        </w:tc>
        <w:tc>
          <w:tcPr>
            <w:tcW w:w="1393" w:type="dxa"/>
            <w:shd w:val="clear" w:color="auto" w:fill="FFFFFF"/>
            <w:vAlign w:val="center"/>
          </w:tcPr>
          <w:p w14:paraId="6C76C04C">
            <w:pPr>
              <w:pStyle w:val="21"/>
              <w:ind w:firstLine="0" w:firstLineChars="0"/>
              <w:rPr>
                <w:rFonts w:ascii="仿宋" w:hAnsi="仿宋" w:eastAsia="仿宋"/>
                <w:sz w:val="24"/>
                <w:szCs w:val="28"/>
              </w:rPr>
            </w:pPr>
            <w:r>
              <w:rPr>
                <w:rFonts w:hint="eastAsia" w:ascii="仿宋" w:hAnsi="仿宋" w:eastAsia="仿宋"/>
                <w:sz w:val="24"/>
                <w:szCs w:val="28"/>
              </w:rPr>
              <w:t>统计分析</w:t>
            </w:r>
          </w:p>
        </w:tc>
        <w:tc>
          <w:tcPr>
            <w:tcW w:w="4542" w:type="dxa"/>
            <w:shd w:val="clear" w:color="auto" w:fill="FFFFFF"/>
            <w:vAlign w:val="center"/>
          </w:tcPr>
          <w:p w14:paraId="3FBD2D31">
            <w:pPr>
              <w:pStyle w:val="21"/>
              <w:ind w:firstLine="0" w:firstLineChars="0"/>
              <w:rPr>
                <w:rFonts w:ascii="仿宋" w:hAnsi="仿宋" w:eastAsia="仿宋"/>
                <w:sz w:val="24"/>
                <w:szCs w:val="28"/>
              </w:rPr>
            </w:pPr>
            <w:r>
              <w:rPr>
                <w:rFonts w:hint="eastAsia" w:ascii="仿宋" w:hAnsi="仿宋" w:eastAsia="仿宋"/>
                <w:sz w:val="24"/>
                <w:szCs w:val="28"/>
              </w:rPr>
              <w:t>汇总统计（贵州省、地市、区县）基金监管部门组织开展的现场检查中发现问题数、整改情况。</w:t>
            </w:r>
          </w:p>
        </w:tc>
      </w:tr>
      <w:tr w14:paraId="7B02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20B807FA">
            <w:pPr>
              <w:pStyle w:val="21"/>
              <w:rPr>
                <w:rFonts w:ascii="仿宋" w:hAnsi="仿宋" w:eastAsia="仿宋"/>
                <w:sz w:val="24"/>
                <w:szCs w:val="28"/>
              </w:rPr>
            </w:pPr>
            <w:r>
              <w:rPr>
                <w:rFonts w:hint="eastAsia" w:ascii="仿宋" w:hAnsi="仿宋" w:eastAsia="仿宋"/>
                <w:sz w:val="24"/>
                <w:szCs w:val="28"/>
              </w:rPr>
              <w:t>14</w:t>
            </w:r>
          </w:p>
        </w:tc>
        <w:tc>
          <w:tcPr>
            <w:tcW w:w="1328" w:type="dxa"/>
            <w:vMerge w:val="continue"/>
            <w:shd w:val="clear" w:color="auto" w:fill="FFFFFF"/>
            <w:vAlign w:val="center"/>
          </w:tcPr>
          <w:p w14:paraId="57E2F09E">
            <w:pPr>
              <w:pStyle w:val="21"/>
              <w:rPr>
                <w:rFonts w:ascii="仿宋" w:hAnsi="仿宋" w:eastAsia="仿宋"/>
                <w:sz w:val="24"/>
                <w:szCs w:val="28"/>
              </w:rPr>
            </w:pPr>
          </w:p>
        </w:tc>
        <w:tc>
          <w:tcPr>
            <w:tcW w:w="1393" w:type="dxa"/>
            <w:shd w:val="clear" w:color="auto" w:fill="FFFFFF"/>
            <w:vAlign w:val="center"/>
          </w:tcPr>
          <w:p w14:paraId="584C997B">
            <w:pPr>
              <w:pStyle w:val="21"/>
              <w:ind w:firstLine="0" w:firstLineChars="0"/>
              <w:rPr>
                <w:rFonts w:ascii="仿宋" w:hAnsi="仿宋" w:eastAsia="仿宋"/>
                <w:sz w:val="24"/>
                <w:szCs w:val="28"/>
              </w:rPr>
            </w:pPr>
            <w:r>
              <w:rPr>
                <w:rFonts w:hint="eastAsia" w:ascii="仿宋" w:hAnsi="仿宋" w:eastAsia="仿宋"/>
                <w:sz w:val="24"/>
                <w:szCs w:val="28"/>
              </w:rPr>
              <w:t>专项检查组成立</w:t>
            </w:r>
          </w:p>
        </w:tc>
        <w:tc>
          <w:tcPr>
            <w:tcW w:w="4542" w:type="dxa"/>
            <w:shd w:val="clear" w:color="auto" w:fill="FFFFFF"/>
            <w:vAlign w:val="center"/>
          </w:tcPr>
          <w:p w14:paraId="3E7EBB6F">
            <w:pPr>
              <w:pStyle w:val="21"/>
              <w:ind w:firstLine="0" w:firstLineChars="0"/>
              <w:rPr>
                <w:rFonts w:ascii="仿宋" w:hAnsi="仿宋" w:eastAsia="仿宋"/>
                <w:sz w:val="24"/>
                <w:szCs w:val="28"/>
              </w:rPr>
            </w:pPr>
            <w:r>
              <w:rPr>
                <w:rFonts w:hint="eastAsia" w:ascii="仿宋" w:hAnsi="仿宋" w:eastAsia="仿宋"/>
                <w:sz w:val="24"/>
                <w:szCs w:val="28"/>
              </w:rPr>
              <w:t>根据人社部或贵州省统计部署、或非现场检查发现重大问题线索等情况，需要进行现场检查的，基金监管部门组织进行专项检查，并成立专项检查组。</w:t>
            </w:r>
          </w:p>
        </w:tc>
      </w:tr>
      <w:tr w14:paraId="5077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01" w:type="dxa"/>
            <w:shd w:val="clear" w:color="auto" w:fill="FFFFFF"/>
            <w:vAlign w:val="center"/>
          </w:tcPr>
          <w:p w14:paraId="4CC41857">
            <w:pPr>
              <w:pStyle w:val="21"/>
              <w:rPr>
                <w:rFonts w:ascii="仿宋" w:hAnsi="仿宋" w:eastAsia="仿宋"/>
                <w:sz w:val="24"/>
                <w:szCs w:val="28"/>
              </w:rPr>
            </w:pPr>
            <w:r>
              <w:rPr>
                <w:rFonts w:hint="eastAsia" w:ascii="仿宋" w:hAnsi="仿宋" w:eastAsia="仿宋"/>
                <w:sz w:val="24"/>
                <w:szCs w:val="28"/>
              </w:rPr>
              <w:t>15</w:t>
            </w:r>
          </w:p>
        </w:tc>
        <w:tc>
          <w:tcPr>
            <w:tcW w:w="1328" w:type="dxa"/>
            <w:vMerge w:val="continue"/>
            <w:shd w:val="clear" w:color="auto" w:fill="FFFFFF"/>
            <w:vAlign w:val="center"/>
          </w:tcPr>
          <w:p w14:paraId="5EE92CA4">
            <w:pPr>
              <w:pStyle w:val="21"/>
              <w:rPr>
                <w:rFonts w:ascii="仿宋" w:hAnsi="仿宋" w:eastAsia="仿宋"/>
                <w:sz w:val="24"/>
                <w:szCs w:val="28"/>
              </w:rPr>
            </w:pPr>
          </w:p>
        </w:tc>
        <w:tc>
          <w:tcPr>
            <w:tcW w:w="1393" w:type="dxa"/>
            <w:shd w:val="clear" w:color="auto" w:fill="FFFFFF"/>
            <w:vAlign w:val="center"/>
          </w:tcPr>
          <w:p w14:paraId="339A09A2">
            <w:pPr>
              <w:pStyle w:val="21"/>
              <w:ind w:firstLine="0" w:firstLineChars="0"/>
              <w:rPr>
                <w:rFonts w:ascii="仿宋" w:hAnsi="仿宋" w:eastAsia="仿宋"/>
                <w:sz w:val="24"/>
                <w:szCs w:val="28"/>
              </w:rPr>
            </w:pPr>
            <w:r>
              <w:rPr>
                <w:rFonts w:hint="eastAsia" w:ascii="仿宋" w:hAnsi="仿宋" w:eastAsia="仿宋"/>
                <w:sz w:val="24"/>
                <w:szCs w:val="28"/>
              </w:rPr>
              <w:t>制定检查方案</w:t>
            </w:r>
          </w:p>
        </w:tc>
        <w:tc>
          <w:tcPr>
            <w:tcW w:w="4542" w:type="dxa"/>
            <w:shd w:val="clear" w:color="auto" w:fill="FFFFFF"/>
            <w:vAlign w:val="center"/>
          </w:tcPr>
          <w:p w14:paraId="70A688E3">
            <w:pPr>
              <w:pStyle w:val="21"/>
              <w:ind w:firstLine="0" w:firstLineChars="0"/>
              <w:rPr>
                <w:rFonts w:ascii="仿宋" w:hAnsi="仿宋" w:eastAsia="仿宋"/>
                <w:sz w:val="24"/>
                <w:szCs w:val="28"/>
              </w:rPr>
            </w:pPr>
            <w:r>
              <w:rPr>
                <w:rFonts w:hint="eastAsia" w:ascii="仿宋" w:hAnsi="仿宋" w:eastAsia="仿宋"/>
                <w:sz w:val="24"/>
                <w:szCs w:val="28"/>
              </w:rPr>
              <w:t>专项检查组确定本次检查项目、范围、内容、时间和方式等。</w:t>
            </w:r>
          </w:p>
        </w:tc>
      </w:tr>
      <w:tr w14:paraId="1DDE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0AC709AD">
            <w:pPr>
              <w:pStyle w:val="21"/>
              <w:rPr>
                <w:rFonts w:ascii="仿宋" w:hAnsi="仿宋" w:eastAsia="仿宋"/>
                <w:sz w:val="24"/>
                <w:szCs w:val="28"/>
              </w:rPr>
            </w:pPr>
            <w:r>
              <w:rPr>
                <w:rFonts w:hint="eastAsia" w:ascii="仿宋" w:hAnsi="仿宋" w:eastAsia="仿宋"/>
                <w:sz w:val="24"/>
                <w:szCs w:val="28"/>
              </w:rPr>
              <w:t>16</w:t>
            </w:r>
          </w:p>
        </w:tc>
        <w:tc>
          <w:tcPr>
            <w:tcW w:w="1328" w:type="dxa"/>
            <w:vMerge w:val="continue"/>
            <w:shd w:val="clear" w:color="auto" w:fill="FFFFFF"/>
            <w:vAlign w:val="center"/>
          </w:tcPr>
          <w:p w14:paraId="1DD1CFD7">
            <w:pPr>
              <w:pStyle w:val="21"/>
              <w:rPr>
                <w:rFonts w:ascii="仿宋" w:hAnsi="仿宋" w:eastAsia="仿宋"/>
                <w:sz w:val="24"/>
                <w:szCs w:val="28"/>
              </w:rPr>
            </w:pPr>
          </w:p>
        </w:tc>
        <w:tc>
          <w:tcPr>
            <w:tcW w:w="1393" w:type="dxa"/>
            <w:shd w:val="clear" w:color="auto" w:fill="FFFFFF"/>
            <w:vAlign w:val="center"/>
          </w:tcPr>
          <w:p w14:paraId="511E339E">
            <w:pPr>
              <w:pStyle w:val="21"/>
              <w:ind w:firstLine="0" w:firstLineChars="0"/>
              <w:rPr>
                <w:rFonts w:ascii="仿宋" w:hAnsi="仿宋" w:eastAsia="仿宋"/>
                <w:sz w:val="24"/>
                <w:szCs w:val="28"/>
              </w:rPr>
            </w:pPr>
            <w:r>
              <w:rPr>
                <w:rFonts w:hint="eastAsia" w:ascii="仿宋" w:hAnsi="仿宋" w:eastAsia="仿宋"/>
                <w:sz w:val="24"/>
                <w:szCs w:val="28"/>
              </w:rPr>
              <w:t>检查通知</w:t>
            </w:r>
          </w:p>
        </w:tc>
        <w:tc>
          <w:tcPr>
            <w:tcW w:w="4542" w:type="dxa"/>
            <w:shd w:val="clear" w:color="auto" w:fill="FFFFFF"/>
            <w:vAlign w:val="center"/>
          </w:tcPr>
          <w:p w14:paraId="4A7175B9">
            <w:pPr>
              <w:pStyle w:val="21"/>
              <w:ind w:firstLine="0" w:firstLineChars="0"/>
              <w:rPr>
                <w:rFonts w:ascii="仿宋" w:hAnsi="仿宋" w:eastAsia="仿宋"/>
                <w:sz w:val="24"/>
                <w:szCs w:val="28"/>
              </w:rPr>
            </w:pPr>
            <w:r>
              <w:rPr>
                <w:rFonts w:hint="eastAsia" w:ascii="仿宋" w:hAnsi="仿宋" w:eastAsia="仿宋"/>
                <w:sz w:val="24"/>
                <w:szCs w:val="28"/>
              </w:rPr>
              <w:t>专项检查组向被检查单位发出社会保险基金检查通知书、告知检查内容、时间和要求以及被检查单位应该配合事项，提前通知可能影响检查结果的，实行飞行检查，可以现场下达检查通知。</w:t>
            </w:r>
          </w:p>
        </w:tc>
      </w:tr>
      <w:tr w14:paraId="2737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589835F0">
            <w:pPr>
              <w:pStyle w:val="21"/>
              <w:rPr>
                <w:rFonts w:ascii="仿宋" w:hAnsi="仿宋" w:eastAsia="仿宋"/>
                <w:sz w:val="24"/>
                <w:szCs w:val="28"/>
              </w:rPr>
            </w:pPr>
            <w:r>
              <w:rPr>
                <w:rFonts w:hint="eastAsia" w:ascii="仿宋" w:hAnsi="仿宋" w:eastAsia="仿宋"/>
                <w:sz w:val="24"/>
                <w:szCs w:val="28"/>
              </w:rPr>
              <w:t>17</w:t>
            </w:r>
          </w:p>
        </w:tc>
        <w:tc>
          <w:tcPr>
            <w:tcW w:w="1328" w:type="dxa"/>
            <w:vMerge w:val="continue"/>
            <w:shd w:val="clear" w:color="auto" w:fill="FFFFFF"/>
            <w:vAlign w:val="center"/>
          </w:tcPr>
          <w:p w14:paraId="1CE9E5D8">
            <w:pPr>
              <w:pStyle w:val="21"/>
              <w:rPr>
                <w:rFonts w:ascii="仿宋" w:hAnsi="仿宋" w:eastAsia="仿宋"/>
                <w:sz w:val="24"/>
                <w:szCs w:val="28"/>
              </w:rPr>
            </w:pPr>
          </w:p>
        </w:tc>
        <w:tc>
          <w:tcPr>
            <w:tcW w:w="1393" w:type="dxa"/>
            <w:shd w:val="clear" w:color="auto" w:fill="FFFFFF"/>
            <w:vAlign w:val="center"/>
          </w:tcPr>
          <w:p w14:paraId="3DB37C35">
            <w:pPr>
              <w:pStyle w:val="21"/>
              <w:ind w:firstLine="0" w:firstLineChars="0"/>
              <w:rPr>
                <w:rFonts w:ascii="仿宋" w:hAnsi="仿宋" w:eastAsia="仿宋"/>
                <w:sz w:val="24"/>
                <w:szCs w:val="28"/>
              </w:rPr>
            </w:pPr>
            <w:r>
              <w:rPr>
                <w:rFonts w:hint="eastAsia" w:ascii="仿宋" w:hAnsi="仿宋" w:eastAsia="仿宋"/>
                <w:sz w:val="24"/>
                <w:szCs w:val="28"/>
              </w:rPr>
              <w:t>现场检查</w:t>
            </w:r>
          </w:p>
        </w:tc>
        <w:tc>
          <w:tcPr>
            <w:tcW w:w="4542" w:type="dxa"/>
            <w:shd w:val="clear" w:color="auto" w:fill="FFFFFF"/>
            <w:vAlign w:val="center"/>
          </w:tcPr>
          <w:p w14:paraId="64229077">
            <w:pPr>
              <w:pStyle w:val="21"/>
              <w:ind w:firstLine="0" w:firstLineChars="0"/>
              <w:rPr>
                <w:rFonts w:ascii="仿宋" w:hAnsi="仿宋" w:eastAsia="仿宋"/>
                <w:sz w:val="24"/>
                <w:szCs w:val="28"/>
              </w:rPr>
            </w:pPr>
            <w:r>
              <w:rPr>
                <w:rFonts w:hint="eastAsia" w:ascii="仿宋" w:hAnsi="仿宋" w:eastAsia="仿宋"/>
                <w:sz w:val="24"/>
                <w:szCs w:val="28"/>
              </w:rPr>
              <w:t>专项检查组现场检查社会保险基金有关的会计凭证、会计账簿、财务会计报告、业务档案，以及其他与社会保险基金收支、管理有关的数据、资料，向被检查单位和有关个人调查取证。</w:t>
            </w:r>
          </w:p>
        </w:tc>
      </w:tr>
      <w:tr w14:paraId="0A53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14:paraId="408D8179">
            <w:pPr>
              <w:pStyle w:val="21"/>
              <w:rPr>
                <w:rFonts w:ascii="仿宋" w:hAnsi="仿宋" w:eastAsia="仿宋"/>
                <w:sz w:val="24"/>
                <w:szCs w:val="28"/>
              </w:rPr>
            </w:pPr>
            <w:r>
              <w:rPr>
                <w:rFonts w:hint="eastAsia" w:ascii="仿宋" w:hAnsi="仿宋" w:eastAsia="仿宋"/>
                <w:sz w:val="24"/>
                <w:szCs w:val="28"/>
              </w:rPr>
              <w:t>18</w:t>
            </w:r>
          </w:p>
        </w:tc>
        <w:tc>
          <w:tcPr>
            <w:tcW w:w="1328" w:type="dxa"/>
            <w:vMerge w:val="continue"/>
            <w:shd w:val="clear" w:color="auto" w:fill="FFFFFF"/>
            <w:vAlign w:val="center"/>
          </w:tcPr>
          <w:p w14:paraId="13841A9E">
            <w:pPr>
              <w:pStyle w:val="21"/>
              <w:rPr>
                <w:rFonts w:ascii="仿宋" w:hAnsi="仿宋" w:eastAsia="仿宋"/>
                <w:sz w:val="24"/>
                <w:szCs w:val="28"/>
              </w:rPr>
            </w:pPr>
          </w:p>
        </w:tc>
        <w:tc>
          <w:tcPr>
            <w:tcW w:w="1393" w:type="dxa"/>
            <w:shd w:val="clear" w:color="auto" w:fill="FFFFFF"/>
            <w:vAlign w:val="center"/>
          </w:tcPr>
          <w:p w14:paraId="649C176B">
            <w:pPr>
              <w:pStyle w:val="21"/>
              <w:ind w:firstLine="0" w:firstLineChars="0"/>
              <w:rPr>
                <w:rFonts w:ascii="仿宋" w:hAnsi="仿宋" w:eastAsia="仿宋"/>
                <w:sz w:val="24"/>
                <w:szCs w:val="28"/>
              </w:rPr>
            </w:pPr>
            <w:r>
              <w:rPr>
                <w:rFonts w:hint="eastAsia" w:ascii="仿宋" w:hAnsi="仿宋" w:eastAsia="仿宋"/>
                <w:sz w:val="24"/>
                <w:szCs w:val="28"/>
              </w:rPr>
              <w:t>检查结果</w:t>
            </w:r>
          </w:p>
        </w:tc>
        <w:tc>
          <w:tcPr>
            <w:tcW w:w="4542" w:type="dxa"/>
            <w:shd w:val="clear" w:color="auto" w:fill="FFFFFF"/>
            <w:vAlign w:val="center"/>
          </w:tcPr>
          <w:p w14:paraId="2CC878B1">
            <w:pPr>
              <w:pStyle w:val="21"/>
              <w:ind w:firstLine="0" w:firstLineChars="0"/>
              <w:rPr>
                <w:rFonts w:ascii="仿宋" w:hAnsi="仿宋" w:eastAsia="仿宋"/>
                <w:sz w:val="24"/>
                <w:szCs w:val="28"/>
              </w:rPr>
            </w:pPr>
            <w:r>
              <w:rPr>
                <w:rFonts w:hint="eastAsia" w:ascii="仿宋" w:hAnsi="仿宋" w:eastAsia="仿宋"/>
                <w:sz w:val="24"/>
                <w:szCs w:val="28"/>
              </w:rPr>
              <w:t>专项检查组拟定检查结果报告，并送被检查单位征求意见，被检查单位如有异议，提出书面意见。检查组核实意见或异议，据实修改检查报告。</w:t>
            </w:r>
          </w:p>
        </w:tc>
      </w:tr>
      <w:tr w14:paraId="210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6E3FF9A6">
            <w:pPr>
              <w:pStyle w:val="21"/>
              <w:rPr>
                <w:rFonts w:ascii="仿宋" w:hAnsi="仿宋" w:eastAsia="仿宋"/>
                <w:sz w:val="24"/>
                <w:szCs w:val="28"/>
              </w:rPr>
            </w:pPr>
            <w:r>
              <w:rPr>
                <w:rFonts w:hint="eastAsia" w:ascii="仿宋" w:hAnsi="仿宋" w:eastAsia="仿宋"/>
                <w:sz w:val="24"/>
                <w:szCs w:val="28"/>
              </w:rPr>
              <w:t>19</w:t>
            </w:r>
          </w:p>
        </w:tc>
        <w:tc>
          <w:tcPr>
            <w:tcW w:w="1328" w:type="dxa"/>
            <w:vMerge w:val="continue"/>
            <w:shd w:val="clear" w:color="auto" w:fill="FFFFFF"/>
            <w:vAlign w:val="center"/>
          </w:tcPr>
          <w:p w14:paraId="471A6646">
            <w:pPr>
              <w:pStyle w:val="21"/>
              <w:rPr>
                <w:rFonts w:ascii="仿宋" w:hAnsi="仿宋" w:eastAsia="仿宋"/>
                <w:sz w:val="24"/>
                <w:szCs w:val="28"/>
              </w:rPr>
            </w:pPr>
          </w:p>
        </w:tc>
        <w:tc>
          <w:tcPr>
            <w:tcW w:w="1393" w:type="dxa"/>
            <w:shd w:val="clear" w:color="auto" w:fill="FFFFFF"/>
            <w:vAlign w:val="center"/>
          </w:tcPr>
          <w:p w14:paraId="4D668015">
            <w:pPr>
              <w:pStyle w:val="21"/>
              <w:ind w:firstLine="0" w:firstLineChars="0"/>
              <w:rPr>
                <w:rFonts w:ascii="仿宋" w:hAnsi="仿宋" w:eastAsia="仿宋"/>
                <w:sz w:val="24"/>
                <w:szCs w:val="28"/>
              </w:rPr>
            </w:pPr>
            <w:r>
              <w:rPr>
                <w:rFonts w:hint="eastAsia" w:ascii="仿宋" w:hAnsi="仿宋" w:eastAsia="仿宋"/>
                <w:sz w:val="24"/>
                <w:szCs w:val="28"/>
              </w:rPr>
              <w:t>检查反馈处理</w:t>
            </w:r>
          </w:p>
        </w:tc>
        <w:tc>
          <w:tcPr>
            <w:tcW w:w="4542" w:type="dxa"/>
            <w:shd w:val="clear" w:color="auto" w:fill="FFFFFF"/>
            <w:vAlign w:val="center"/>
          </w:tcPr>
          <w:p w14:paraId="43A951D4">
            <w:pPr>
              <w:pStyle w:val="21"/>
              <w:ind w:firstLine="0" w:firstLineChars="0"/>
              <w:rPr>
                <w:rFonts w:ascii="仿宋" w:hAnsi="仿宋" w:eastAsia="仿宋"/>
                <w:sz w:val="24"/>
                <w:szCs w:val="28"/>
              </w:rPr>
            </w:pPr>
            <w:r>
              <w:rPr>
                <w:rFonts w:hint="eastAsia" w:ascii="仿宋" w:hAnsi="仿宋" w:eastAsia="仿宋"/>
                <w:sz w:val="24"/>
                <w:szCs w:val="28"/>
              </w:rPr>
              <w:t>基金监管部门根据检查报告向出具检查意见书，对存在的问题提出整改建议，并明确整改时限和要求。被检查单位按要求进行整改，反馈并提供整改结果和相关证据。</w:t>
            </w:r>
          </w:p>
        </w:tc>
      </w:tr>
      <w:tr w14:paraId="7BBB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1101" w:type="dxa"/>
            <w:shd w:val="clear" w:color="auto" w:fill="FFFFFF"/>
            <w:vAlign w:val="center"/>
          </w:tcPr>
          <w:p w14:paraId="50DA2F79">
            <w:pPr>
              <w:pStyle w:val="21"/>
              <w:rPr>
                <w:rFonts w:ascii="仿宋" w:hAnsi="仿宋" w:eastAsia="仿宋"/>
                <w:sz w:val="24"/>
                <w:szCs w:val="28"/>
              </w:rPr>
            </w:pPr>
            <w:r>
              <w:rPr>
                <w:rFonts w:hint="eastAsia" w:ascii="仿宋" w:hAnsi="仿宋" w:eastAsia="仿宋"/>
                <w:sz w:val="24"/>
                <w:szCs w:val="28"/>
              </w:rPr>
              <w:t>20</w:t>
            </w:r>
          </w:p>
        </w:tc>
        <w:tc>
          <w:tcPr>
            <w:tcW w:w="1328" w:type="dxa"/>
            <w:vMerge w:val="restart"/>
            <w:shd w:val="clear" w:color="auto" w:fill="FFFFFF"/>
            <w:vAlign w:val="center"/>
          </w:tcPr>
          <w:p w14:paraId="391850C2">
            <w:pPr>
              <w:pStyle w:val="21"/>
              <w:ind w:firstLine="0" w:firstLineChars="0"/>
              <w:rPr>
                <w:rFonts w:ascii="仿宋" w:hAnsi="仿宋" w:eastAsia="仿宋"/>
                <w:sz w:val="24"/>
                <w:szCs w:val="28"/>
              </w:rPr>
            </w:pPr>
            <w:r>
              <w:rPr>
                <w:rFonts w:hint="eastAsia" w:ascii="仿宋" w:hAnsi="仿宋" w:eastAsia="仿宋"/>
                <w:sz w:val="24"/>
                <w:szCs w:val="28"/>
              </w:rPr>
              <w:t>审计专项检查</w:t>
            </w:r>
          </w:p>
        </w:tc>
        <w:tc>
          <w:tcPr>
            <w:tcW w:w="1393" w:type="dxa"/>
            <w:shd w:val="clear" w:color="auto" w:fill="FFFFFF"/>
            <w:vAlign w:val="center"/>
          </w:tcPr>
          <w:p w14:paraId="1D89CDDB">
            <w:pPr>
              <w:pStyle w:val="21"/>
              <w:ind w:firstLine="0" w:firstLineChars="0"/>
              <w:rPr>
                <w:rFonts w:ascii="仿宋" w:hAnsi="仿宋" w:eastAsia="仿宋"/>
                <w:sz w:val="24"/>
                <w:szCs w:val="28"/>
              </w:rPr>
            </w:pPr>
            <w:r>
              <w:rPr>
                <w:rFonts w:hint="eastAsia" w:ascii="仿宋" w:hAnsi="仿宋" w:eastAsia="仿宋"/>
                <w:sz w:val="24"/>
                <w:szCs w:val="28"/>
              </w:rPr>
              <w:t>统计分析</w:t>
            </w:r>
          </w:p>
        </w:tc>
        <w:tc>
          <w:tcPr>
            <w:tcW w:w="4542" w:type="dxa"/>
            <w:shd w:val="clear" w:color="auto" w:fill="FFFFFF"/>
            <w:vAlign w:val="center"/>
          </w:tcPr>
          <w:p w14:paraId="7FE2DB55">
            <w:pPr>
              <w:pStyle w:val="21"/>
              <w:ind w:firstLine="0" w:firstLineChars="0"/>
              <w:rPr>
                <w:rFonts w:ascii="仿宋" w:hAnsi="仿宋" w:eastAsia="仿宋"/>
                <w:sz w:val="24"/>
                <w:szCs w:val="28"/>
              </w:rPr>
            </w:pPr>
            <w:r>
              <w:rPr>
                <w:rFonts w:hint="eastAsia" w:ascii="仿宋" w:hAnsi="仿宋" w:eastAsia="仿宋"/>
                <w:sz w:val="24"/>
                <w:szCs w:val="28"/>
              </w:rPr>
              <w:t>汇总统计（贵州省、地市、区县）审计部门组织开展的现场审计工作发现问题数、整改情况。</w:t>
            </w:r>
          </w:p>
        </w:tc>
      </w:tr>
      <w:tr w14:paraId="4941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5FE34A4A">
            <w:pPr>
              <w:pStyle w:val="21"/>
              <w:rPr>
                <w:rFonts w:ascii="仿宋" w:hAnsi="仿宋" w:eastAsia="仿宋"/>
                <w:sz w:val="24"/>
                <w:szCs w:val="28"/>
              </w:rPr>
            </w:pPr>
            <w:r>
              <w:rPr>
                <w:rFonts w:hint="eastAsia" w:ascii="仿宋" w:hAnsi="仿宋" w:eastAsia="仿宋"/>
                <w:sz w:val="24"/>
                <w:szCs w:val="28"/>
              </w:rPr>
              <w:t>21</w:t>
            </w:r>
          </w:p>
        </w:tc>
        <w:tc>
          <w:tcPr>
            <w:tcW w:w="1328" w:type="dxa"/>
            <w:vMerge w:val="continue"/>
            <w:shd w:val="clear" w:color="auto" w:fill="FFFFFF"/>
            <w:vAlign w:val="center"/>
          </w:tcPr>
          <w:p w14:paraId="03D2D446">
            <w:pPr>
              <w:pStyle w:val="21"/>
              <w:rPr>
                <w:rFonts w:ascii="仿宋" w:hAnsi="仿宋" w:eastAsia="仿宋"/>
                <w:sz w:val="24"/>
                <w:szCs w:val="28"/>
              </w:rPr>
            </w:pPr>
          </w:p>
        </w:tc>
        <w:tc>
          <w:tcPr>
            <w:tcW w:w="1393" w:type="dxa"/>
            <w:shd w:val="clear" w:color="auto" w:fill="FFFFFF"/>
            <w:vAlign w:val="center"/>
          </w:tcPr>
          <w:p w14:paraId="2B027304">
            <w:pPr>
              <w:pStyle w:val="21"/>
              <w:ind w:firstLine="0" w:firstLineChars="0"/>
              <w:rPr>
                <w:rFonts w:ascii="仿宋" w:hAnsi="仿宋" w:eastAsia="仿宋"/>
                <w:sz w:val="24"/>
                <w:szCs w:val="28"/>
              </w:rPr>
            </w:pPr>
            <w:r>
              <w:rPr>
                <w:rFonts w:hint="eastAsia" w:ascii="仿宋" w:hAnsi="仿宋" w:eastAsia="仿宋"/>
                <w:sz w:val="24"/>
                <w:szCs w:val="28"/>
              </w:rPr>
              <w:t>审计通知</w:t>
            </w:r>
          </w:p>
        </w:tc>
        <w:tc>
          <w:tcPr>
            <w:tcW w:w="4542" w:type="dxa"/>
            <w:shd w:val="clear" w:color="auto" w:fill="FFFFFF"/>
            <w:vAlign w:val="center"/>
          </w:tcPr>
          <w:p w14:paraId="1EC0EF4C">
            <w:pPr>
              <w:pStyle w:val="21"/>
              <w:ind w:firstLine="0" w:firstLineChars="0"/>
              <w:rPr>
                <w:rFonts w:ascii="仿宋" w:hAnsi="仿宋" w:eastAsia="仿宋"/>
                <w:sz w:val="24"/>
                <w:szCs w:val="28"/>
              </w:rPr>
            </w:pPr>
            <w:r>
              <w:rPr>
                <w:rFonts w:hint="eastAsia" w:ascii="仿宋" w:hAnsi="仿宋" w:eastAsia="仿宋"/>
                <w:sz w:val="24"/>
                <w:szCs w:val="28"/>
              </w:rPr>
              <w:t>维护所有审计部门下达的审计通知书，包括审计范围、审计时间段、审计组成员、需配合事项等。</w:t>
            </w:r>
          </w:p>
        </w:tc>
      </w:tr>
      <w:tr w14:paraId="624A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37D38EE8">
            <w:pPr>
              <w:pStyle w:val="21"/>
              <w:rPr>
                <w:rFonts w:ascii="仿宋" w:hAnsi="仿宋" w:eastAsia="仿宋"/>
                <w:sz w:val="24"/>
                <w:szCs w:val="28"/>
              </w:rPr>
            </w:pPr>
            <w:r>
              <w:rPr>
                <w:rFonts w:hint="eastAsia" w:ascii="仿宋" w:hAnsi="仿宋" w:eastAsia="仿宋"/>
                <w:sz w:val="24"/>
                <w:szCs w:val="28"/>
              </w:rPr>
              <w:t>22</w:t>
            </w:r>
          </w:p>
        </w:tc>
        <w:tc>
          <w:tcPr>
            <w:tcW w:w="1328" w:type="dxa"/>
            <w:vMerge w:val="continue"/>
            <w:shd w:val="clear" w:color="auto" w:fill="FFFFFF"/>
            <w:vAlign w:val="center"/>
          </w:tcPr>
          <w:p w14:paraId="4D98681A">
            <w:pPr>
              <w:pStyle w:val="21"/>
              <w:rPr>
                <w:rFonts w:ascii="仿宋" w:hAnsi="仿宋" w:eastAsia="仿宋"/>
                <w:sz w:val="24"/>
                <w:szCs w:val="28"/>
              </w:rPr>
            </w:pPr>
          </w:p>
        </w:tc>
        <w:tc>
          <w:tcPr>
            <w:tcW w:w="1393" w:type="dxa"/>
            <w:shd w:val="clear" w:color="auto" w:fill="FFFFFF"/>
            <w:vAlign w:val="center"/>
          </w:tcPr>
          <w:p w14:paraId="1FD818AC">
            <w:pPr>
              <w:pStyle w:val="21"/>
              <w:ind w:firstLine="0" w:firstLineChars="0"/>
              <w:rPr>
                <w:rFonts w:ascii="仿宋" w:hAnsi="仿宋" w:eastAsia="仿宋"/>
                <w:sz w:val="24"/>
                <w:szCs w:val="28"/>
              </w:rPr>
            </w:pPr>
            <w:r>
              <w:rPr>
                <w:rFonts w:hint="eastAsia" w:ascii="仿宋" w:hAnsi="仿宋" w:eastAsia="仿宋"/>
                <w:sz w:val="24"/>
                <w:szCs w:val="28"/>
              </w:rPr>
              <w:t>取证单管理</w:t>
            </w:r>
          </w:p>
        </w:tc>
        <w:tc>
          <w:tcPr>
            <w:tcW w:w="4542" w:type="dxa"/>
            <w:shd w:val="clear" w:color="auto" w:fill="FFFFFF"/>
            <w:vAlign w:val="center"/>
          </w:tcPr>
          <w:p w14:paraId="2704B82C">
            <w:pPr>
              <w:pStyle w:val="21"/>
              <w:ind w:firstLine="0" w:firstLineChars="0"/>
              <w:rPr>
                <w:rFonts w:ascii="仿宋" w:hAnsi="仿宋" w:eastAsia="仿宋"/>
                <w:sz w:val="24"/>
                <w:szCs w:val="28"/>
              </w:rPr>
            </w:pPr>
            <w:r>
              <w:rPr>
                <w:rFonts w:hint="eastAsia" w:ascii="仿宋" w:hAnsi="仿宋" w:eastAsia="仿宋"/>
                <w:sz w:val="24"/>
                <w:szCs w:val="28"/>
              </w:rPr>
              <w:t>审计部门在审计过程中发现疑点问题后，向社保部门发出的取证单及疑点数据明细，维护进系统、方便业务部门进行问题核查。</w:t>
            </w:r>
          </w:p>
        </w:tc>
      </w:tr>
      <w:tr w14:paraId="4B99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01" w:type="dxa"/>
            <w:shd w:val="clear" w:color="auto" w:fill="FFFFFF"/>
            <w:vAlign w:val="center"/>
          </w:tcPr>
          <w:p w14:paraId="61FCC008">
            <w:pPr>
              <w:pStyle w:val="21"/>
              <w:rPr>
                <w:rFonts w:ascii="仿宋" w:hAnsi="仿宋" w:eastAsia="仿宋"/>
                <w:sz w:val="24"/>
                <w:szCs w:val="28"/>
              </w:rPr>
            </w:pPr>
            <w:r>
              <w:rPr>
                <w:rFonts w:hint="eastAsia" w:ascii="仿宋" w:hAnsi="仿宋" w:eastAsia="仿宋"/>
                <w:sz w:val="24"/>
                <w:szCs w:val="28"/>
              </w:rPr>
              <w:t>23</w:t>
            </w:r>
          </w:p>
        </w:tc>
        <w:tc>
          <w:tcPr>
            <w:tcW w:w="1328" w:type="dxa"/>
            <w:vMerge w:val="continue"/>
            <w:shd w:val="clear" w:color="auto" w:fill="FFFFFF"/>
            <w:vAlign w:val="center"/>
          </w:tcPr>
          <w:p w14:paraId="22B6F972">
            <w:pPr>
              <w:pStyle w:val="21"/>
              <w:rPr>
                <w:rFonts w:ascii="仿宋" w:hAnsi="仿宋" w:eastAsia="仿宋"/>
                <w:sz w:val="24"/>
                <w:szCs w:val="28"/>
              </w:rPr>
            </w:pPr>
          </w:p>
        </w:tc>
        <w:tc>
          <w:tcPr>
            <w:tcW w:w="1393" w:type="dxa"/>
            <w:shd w:val="clear" w:color="auto" w:fill="FFFFFF"/>
            <w:vAlign w:val="center"/>
          </w:tcPr>
          <w:p w14:paraId="603CE67C">
            <w:pPr>
              <w:pStyle w:val="21"/>
              <w:ind w:firstLine="0" w:firstLineChars="0"/>
              <w:rPr>
                <w:rFonts w:ascii="仿宋" w:hAnsi="仿宋" w:eastAsia="仿宋"/>
                <w:sz w:val="24"/>
                <w:szCs w:val="28"/>
              </w:rPr>
            </w:pPr>
            <w:r>
              <w:rPr>
                <w:rFonts w:hint="eastAsia" w:ascii="仿宋" w:hAnsi="仿宋" w:eastAsia="仿宋"/>
                <w:sz w:val="24"/>
                <w:szCs w:val="28"/>
              </w:rPr>
              <w:t>审计报告</w:t>
            </w:r>
          </w:p>
        </w:tc>
        <w:tc>
          <w:tcPr>
            <w:tcW w:w="4542" w:type="dxa"/>
            <w:shd w:val="clear" w:color="auto" w:fill="FFFFFF"/>
            <w:vAlign w:val="center"/>
          </w:tcPr>
          <w:p w14:paraId="6CAD1089">
            <w:pPr>
              <w:pStyle w:val="21"/>
              <w:ind w:firstLine="0" w:firstLineChars="0"/>
              <w:rPr>
                <w:rFonts w:ascii="仿宋" w:hAnsi="仿宋" w:eastAsia="仿宋"/>
                <w:sz w:val="24"/>
                <w:szCs w:val="28"/>
              </w:rPr>
            </w:pPr>
            <w:r>
              <w:rPr>
                <w:rFonts w:hint="eastAsia" w:ascii="仿宋" w:hAnsi="仿宋" w:eastAsia="仿宋"/>
                <w:sz w:val="24"/>
                <w:szCs w:val="28"/>
              </w:rPr>
              <w:t>审计部门出具审计报告，社保部门出具书面意见，审计部门进一步核实情况，根据所核实的情况对审计报告作必要修改，最终制定审计意见书和审计决定。</w:t>
            </w:r>
          </w:p>
        </w:tc>
      </w:tr>
    </w:tbl>
    <w:p w14:paraId="47C295A6">
      <w:pPr>
        <w:spacing w:line="360" w:lineRule="auto"/>
        <w:ind w:left="0" w:leftChars="0" w:firstLine="640" w:firstLineChars="200"/>
        <w:outlineLvl w:val="3"/>
        <w:rPr>
          <w:rFonts w:ascii="仿宋" w:hAnsi="仿宋" w:eastAsia="仿宋"/>
          <w:sz w:val="32"/>
          <w:szCs w:val="32"/>
        </w:rPr>
      </w:pPr>
      <w:bookmarkStart w:id="2" w:name="_Toc184318807"/>
      <w:r>
        <w:rPr>
          <w:rFonts w:hint="eastAsia" w:ascii="仿宋" w:hAnsi="仿宋" w:eastAsia="仿宋"/>
          <w:sz w:val="32"/>
          <w:szCs w:val="32"/>
        </w:rPr>
        <w:t>3.要情管理</w:t>
      </w:r>
      <w:bookmarkEnd w:id="2"/>
    </w:p>
    <w:p w14:paraId="0307DAED">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依据《人力资源社会保障部关于印发社会保险基金要情报告制度的通知》（人社部发〔2020〕21号）精神，贵州省结合实际，加强社会保险及补充保险基金监督工作，完善基金要情报告机制，及时掌握基金安全情况，强化基金安全评估和形势研判，提高基金管理风险防控和治理能力。功能包括要情上报、要情处理、年度报告以及要情查询。</w:t>
      </w:r>
    </w:p>
    <w:tbl>
      <w:tblPr>
        <w:tblStyle w:val="15"/>
        <w:tblW w:w="8222" w:type="dxa"/>
        <w:tblInd w:w="-5" w:type="dxa"/>
        <w:tblLayout w:type="autofit"/>
        <w:tblCellMar>
          <w:top w:w="0" w:type="dxa"/>
          <w:left w:w="108" w:type="dxa"/>
          <w:bottom w:w="0" w:type="dxa"/>
          <w:right w:w="108" w:type="dxa"/>
        </w:tblCellMar>
      </w:tblPr>
      <w:tblGrid>
        <w:gridCol w:w="976"/>
        <w:gridCol w:w="1458"/>
        <w:gridCol w:w="5788"/>
      </w:tblGrid>
      <w:tr w14:paraId="6CAB97B3">
        <w:tblPrEx>
          <w:tblCellMar>
            <w:top w:w="0" w:type="dxa"/>
            <w:left w:w="108" w:type="dxa"/>
            <w:bottom w:w="0" w:type="dxa"/>
            <w:right w:w="108" w:type="dxa"/>
          </w:tblCellMar>
        </w:tblPrEx>
        <w:trPr>
          <w:trHeight w:val="52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C59280B">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1490" w:type="dxa"/>
            <w:tcBorders>
              <w:top w:val="single" w:color="auto" w:sz="4" w:space="0"/>
              <w:left w:val="nil"/>
              <w:bottom w:val="single" w:color="auto" w:sz="4" w:space="0"/>
              <w:right w:val="single" w:color="auto" w:sz="4" w:space="0"/>
            </w:tcBorders>
            <w:shd w:val="clear" w:color="auto" w:fill="auto"/>
            <w:vAlign w:val="center"/>
          </w:tcPr>
          <w:p w14:paraId="32F4EC11">
            <w:pPr>
              <w:pStyle w:val="21"/>
              <w:ind w:firstLine="0" w:firstLineChars="0"/>
              <w:rPr>
                <w:rFonts w:ascii="仿宋" w:hAnsi="仿宋" w:eastAsia="仿宋"/>
                <w:sz w:val="24"/>
                <w:szCs w:val="28"/>
              </w:rPr>
            </w:pPr>
            <w:r>
              <w:rPr>
                <w:rFonts w:hint="eastAsia" w:ascii="仿宋" w:hAnsi="仿宋" w:eastAsia="仿宋"/>
                <w:sz w:val="24"/>
                <w:szCs w:val="28"/>
              </w:rPr>
              <w:t>事项名称</w:t>
            </w:r>
          </w:p>
        </w:tc>
        <w:tc>
          <w:tcPr>
            <w:tcW w:w="5952" w:type="dxa"/>
            <w:tcBorders>
              <w:top w:val="single" w:color="auto" w:sz="4" w:space="0"/>
              <w:left w:val="nil"/>
              <w:bottom w:val="single" w:color="auto" w:sz="4" w:space="0"/>
              <w:right w:val="single" w:color="auto" w:sz="4" w:space="0"/>
            </w:tcBorders>
            <w:shd w:val="clear" w:color="auto" w:fill="auto"/>
            <w:vAlign w:val="center"/>
          </w:tcPr>
          <w:p w14:paraId="31E3881C">
            <w:pPr>
              <w:pStyle w:val="21"/>
              <w:ind w:firstLine="0" w:firstLineChars="0"/>
              <w:rPr>
                <w:rFonts w:ascii="仿宋" w:hAnsi="仿宋" w:eastAsia="仿宋"/>
                <w:sz w:val="24"/>
                <w:szCs w:val="28"/>
              </w:rPr>
            </w:pPr>
            <w:r>
              <w:rPr>
                <w:rFonts w:hint="eastAsia" w:ascii="仿宋" w:hAnsi="仿宋" w:eastAsia="仿宋"/>
                <w:sz w:val="24"/>
                <w:szCs w:val="28"/>
              </w:rPr>
              <w:t>需求描述</w:t>
            </w:r>
          </w:p>
        </w:tc>
      </w:tr>
      <w:tr w14:paraId="636BDE46">
        <w:tblPrEx>
          <w:tblCellMar>
            <w:top w:w="0" w:type="dxa"/>
            <w:left w:w="108" w:type="dxa"/>
            <w:bottom w:w="0" w:type="dxa"/>
            <w:right w:w="108" w:type="dxa"/>
          </w:tblCellMar>
        </w:tblPrEx>
        <w:trPr>
          <w:trHeight w:val="52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7A57824">
            <w:pPr>
              <w:pStyle w:val="21"/>
              <w:rPr>
                <w:rFonts w:ascii="仿宋" w:hAnsi="仿宋" w:eastAsia="仿宋"/>
                <w:sz w:val="24"/>
                <w:szCs w:val="28"/>
              </w:rPr>
            </w:pPr>
            <w:r>
              <w:rPr>
                <w:rFonts w:hint="eastAsia" w:ascii="仿宋" w:hAnsi="仿宋" w:eastAsia="仿宋"/>
                <w:sz w:val="24"/>
                <w:szCs w:val="28"/>
              </w:rPr>
              <w:t>1</w:t>
            </w:r>
          </w:p>
        </w:tc>
        <w:tc>
          <w:tcPr>
            <w:tcW w:w="1490" w:type="dxa"/>
            <w:tcBorders>
              <w:top w:val="single" w:color="auto" w:sz="4" w:space="0"/>
              <w:left w:val="nil"/>
              <w:bottom w:val="single" w:color="auto" w:sz="4" w:space="0"/>
              <w:right w:val="single" w:color="auto" w:sz="4" w:space="0"/>
            </w:tcBorders>
            <w:shd w:val="clear" w:color="auto" w:fill="auto"/>
            <w:vAlign w:val="center"/>
          </w:tcPr>
          <w:p w14:paraId="596317C6">
            <w:pPr>
              <w:pStyle w:val="21"/>
              <w:ind w:firstLine="0" w:firstLineChars="0"/>
              <w:rPr>
                <w:rFonts w:ascii="仿宋" w:hAnsi="仿宋" w:eastAsia="仿宋"/>
                <w:sz w:val="24"/>
                <w:szCs w:val="28"/>
              </w:rPr>
            </w:pPr>
            <w:r>
              <w:rPr>
                <w:rFonts w:hint="eastAsia" w:ascii="仿宋" w:hAnsi="仿宋" w:eastAsia="仿宋"/>
                <w:sz w:val="24"/>
                <w:szCs w:val="28"/>
              </w:rPr>
              <w:t>要情上报</w:t>
            </w:r>
          </w:p>
        </w:tc>
        <w:tc>
          <w:tcPr>
            <w:tcW w:w="5952" w:type="dxa"/>
            <w:tcBorders>
              <w:top w:val="single" w:color="auto" w:sz="4" w:space="0"/>
              <w:left w:val="nil"/>
              <w:bottom w:val="single" w:color="auto" w:sz="4" w:space="0"/>
              <w:right w:val="single" w:color="auto" w:sz="4" w:space="0"/>
            </w:tcBorders>
            <w:shd w:val="clear" w:color="auto" w:fill="auto"/>
            <w:vAlign w:val="center"/>
          </w:tcPr>
          <w:p w14:paraId="4563B78F">
            <w:pPr>
              <w:pStyle w:val="21"/>
              <w:ind w:firstLine="0" w:firstLineChars="0"/>
              <w:rPr>
                <w:rFonts w:ascii="仿宋" w:hAnsi="仿宋" w:eastAsia="仿宋"/>
                <w:sz w:val="24"/>
                <w:szCs w:val="28"/>
              </w:rPr>
            </w:pPr>
            <w:r>
              <w:rPr>
                <w:rFonts w:hint="eastAsia" w:ascii="仿宋" w:hAnsi="仿宋" w:eastAsia="仿宋"/>
                <w:sz w:val="24"/>
                <w:szCs w:val="28"/>
              </w:rPr>
              <w:t>各级人力资源社会保障行政部门应当根据基金监管工作需要和要情报告实际情况，对普通要情、重大要情的发现报告、进展报告、终结报告的上报。</w:t>
            </w:r>
          </w:p>
        </w:tc>
      </w:tr>
      <w:tr w14:paraId="79BE2BE7">
        <w:tblPrEx>
          <w:tblCellMar>
            <w:top w:w="0" w:type="dxa"/>
            <w:left w:w="108" w:type="dxa"/>
            <w:bottom w:w="0" w:type="dxa"/>
            <w:right w:w="108" w:type="dxa"/>
          </w:tblCellMar>
        </w:tblPrEx>
        <w:trPr>
          <w:trHeight w:val="523"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6A45368">
            <w:pPr>
              <w:pStyle w:val="21"/>
              <w:rPr>
                <w:rFonts w:ascii="仿宋" w:hAnsi="仿宋" w:eastAsia="仿宋"/>
                <w:sz w:val="24"/>
                <w:szCs w:val="28"/>
              </w:rPr>
            </w:pPr>
            <w:r>
              <w:rPr>
                <w:rFonts w:hint="eastAsia" w:ascii="仿宋" w:hAnsi="仿宋" w:eastAsia="仿宋"/>
                <w:sz w:val="24"/>
                <w:szCs w:val="28"/>
              </w:rPr>
              <w:t>2</w:t>
            </w:r>
          </w:p>
        </w:tc>
        <w:tc>
          <w:tcPr>
            <w:tcW w:w="1490" w:type="dxa"/>
            <w:tcBorders>
              <w:top w:val="nil"/>
              <w:left w:val="nil"/>
              <w:bottom w:val="single" w:color="auto" w:sz="4" w:space="0"/>
              <w:right w:val="single" w:color="auto" w:sz="4" w:space="0"/>
            </w:tcBorders>
            <w:shd w:val="clear" w:color="auto" w:fill="auto"/>
            <w:vAlign w:val="center"/>
          </w:tcPr>
          <w:p w14:paraId="0E16175B">
            <w:pPr>
              <w:pStyle w:val="21"/>
              <w:ind w:firstLine="0" w:firstLineChars="0"/>
              <w:rPr>
                <w:rFonts w:ascii="仿宋" w:hAnsi="仿宋" w:eastAsia="仿宋"/>
                <w:sz w:val="24"/>
                <w:szCs w:val="28"/>
              </w:rPr>
            </w:pPr>
            <w:r>
              <w:rPr>
                <w:rFonts w:hint="eastAsia" w:ascii="仿宋" w:hAnsi="仿宋" w:eastAsia="仿宋"/>
                <w:sz w:val="24"/>
                <w:szCs w:val="28"/>
              </w:rPr>
              <w:t>要情处理</w:t>
            </w:r>
          </w:p>
        </w:tc>
        <w:tc>
          <w:tcPr>
            <w:tcW w:w="5952" w:type="dxa"/>
            <w:tcBorders>
              <w:top w:val="nil"/>
              <w:left w:val="nil"/>
              <w:bottom w:val="single" w:color="auto" w:sz="4" w:space="0"/>
              <w:right w:val="single" w:color="auto" w:sz="4" w:space="0"/>
            </w:tcBorders>
            <w:shd w:val="clear" w:color="auto" w:fill="auto"/>
            <w:vAlign w:val="center"/>
          </w:tcPr>
          <w:p w14:paraId="3B79D439">
            <w:pPr>
              <w:pStyle w:val="21"/>
              <w:ind w:firstLine="0" w:firstLineChars="0"/>
              <w:rPr>
                <w:rFonts w:ascii="仿宋" w:hAnsi="仿宋" w:eastAsia="仿宋"/>
                <w:sz w:val="24"/>
                <w:szCs w:val="28"/>
              </w:rPr>
            </w:pPr>
            <w:r>
              <w:rPr>
                <w:rFonts w:hint="eastAsia" w:ascii="仿宋" w:hAnsi="仿宋" w:eastAsia="仿宋"/>
                <w:sz w:val="24"/>
                <w:szCs w:val="28"/>
              </w:rPr>
              <w:t>各级人力资源社会保障行政部门对要情报告的管理工作，确保要情报告的依规、按时、完整、准确报告，做到有情则报、急情快报、应报尽报、全面报告。</w:t>
            </w:r>
          </w:p>
        </w:tc>
      </w:tr>
      <w:tr w14:paraId="63AEC3AD">
        <w:tblPrEx>
          <w:tblCellMar>
            <w:top w:w="0" w:type="dxa"/>
            <w:left w:w="108" w:type="dxa"/>
            <w:bottom w:w="0" w:type="dxa"/>
            <w:right w:w="108" w:type="dxa"/>
          </w:tblCellMar>
        </w:tblPrEx>
        <w:trPr>
          <w:trHeight w:val="6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19D1BE8">
            <w:pPr>
              <w:pStyle w:val="21"/>
              <w:rPr>
                <w:rFonts w:ascii="仿宋" w:hAnsi="仿宋" w:eastAsia="仿宋"/>
                <w:sz w:val="24"/>
                <w:szCs w:val="28"/>
              </w:rPr>
            </w:pPr>
            <w:r>
              <w:rPr>
                <w:rFonts w:hint="eastAsia" w:ascii="仿宋" w:hAnsi="仿宋" w:eastAsia="仿宋"/>
                <w:sz w:val="24"/>
                <w:szCs w:val="28"/>
              </w:rPr>
              <w:t>3</w:t>
            </w:r>
          </w:p>
        </w:tc>
        <w:tc>
          <w:tcPr>
            <w:tcW w:w="1490" w:type="dxa"/>
            <w:tcBorders>
              <w:top w:val="nil"/>
              <w:left w:val="nil"/>
              <w:bottom w:val="single" w:color="auto" w:sz="4" w:space="0"/>
              <w:right w:val="single" w:color="auto" w:sz="4" w:space="0"/>
            </w:tcBorders>
            <w:shd w:val="clear" w:color="auto" w:fill="auto"/>
            <w:vAlign w:val="center"/>
          </w:tcPr>
          <w:p w14:paraId="1C911B7B">
            <w:pPr>
              <w:pStyle w:val="21"/>
              <w:ind w:firstLine="0" w:firstLineChars="0"/>
              <w:rPr>
                <w:rFonts w:ascii="仿宋" w:hAnsi="仿宋" w:eastAsia="仿宋"/>
                <w:sz w:val="24"/>
                <w:szCs w:val="28"/>
              </w:rPr>
            </w:pPr>
            <w:r>
              <w:rPr>
                <w:rFonts w:hint="eastAsia" w:ascii="仿宋" w:hAnsi="仿宋" w:eastAsia="仿宋"/>
                <w:sz w:val="24"/>
                <w:szCs w:val="28"/>
              </w:rPr>
              <w:t>年度报告</w:t>
            </w:r>
          </w:p>
        </w:tc>
        <w:tc>
          <w:tcPr>
            <w:tcW w:w="5952" w:type="dxa"/>
            <w:tcBorders>
              <w:top w:val="nil"/>
              <w:left w:val="nil"/>
              <w:bottom w:val="single" w:color="auto" w:sz="4" w:space="0"/>
              <w:right w:val="single" w:color="auto" w:sz="4" w:space="0"/>
            </w:tcBorders>
            <w:shd w:val="clear" w:color="auto" w:fill="auto"/>
            <w:vAlign w:val="center"/>
          </w:tcPr>
          <w:p w14:paraId="2B64C8FF">
            <w:pPr>
              <w:pStyle w:val="21"/>
              <w:ind w:firstLine="0" w:firstLineChars="0"/>
              <w:rPr>
                <w:rFonts w:ascii="仿宋" w:hAnsi="仿宋" w:eastAsia="仿宋"/>
                <w:sz w:val="24"/>
                <w:szCs w:val="28"/>
              </w:rPr>
            </w:pPr>
            <w:r>
              <w:rPr>
                <w:rFonts w:hint="eastAsia" w:ascii="仿宋" w:hAnsi="仿宋" w:eastAsia="仿宋"/>
                <w:sz w:val="24"/>
                <w:szCs w:val="28"/>
              </w:rPr>
              <w:t>依据社会保险基金要情报告制度，对要情总体情况及分析，重大要情情况及分析，涉及社保工作人员要情情况及分析，本地区采取的主要应对措施、成效和经验教训，本地区完善和落实要情报告制度情况，报告单位认为其他需求报告或说明的情况。</w:t>
            </w:r>
          </w:p>
        </w:tc>
      </w:tr>
      <w:tr w14:paraId="41903F9D">
        <w:tblPrEx>
          <w:tblCellMar>
            <w:top w:w="0" w:type="dxa"/>
            <w:left w:w="108" w:type="dxa"/>
            <w:bottom w:w="0" w:type="dxa"/>
            <w:right w:w="108" w:type="dxa"/>
          </w:tblCellMar>
        </w:tblPrEx>
        <w:trPr>
          <w:trHeight w:val="523"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65C8200">
            <w:pPr>
              <w:pStyle w:val="21"/>
              <w:rPr>
                <w:rFonts w:ascii="仿宋" w:hAnsi="仿宋" w:eastAsia="仿宋"/>
                <w:sz w:val="24"/>
                <w:szCs w:val="28"/>
              </w:rPr>
            </w:pPr>
            <w:r>
              <w:rPr>
                <w:rFonts w:hint="eastAsia" w:ascii="仿宋" w:hAnsi="仿宋" w:eastAsia="仿宋"/>
                <w:sz w:val="24"/>
                <w:szCs w:val="28"/>
              </w:rPr>
              <w:t>4</w:t>
            </w:r>
          </w:p>
        </w:tc>
        <w:tc>
          <w:tcPr>
            <w:tcW w:w="1490" w:type="dxa"/>
            <w:tcBorders>
              <w:top w:val="nil"/>
              <w:left w:val="nil"/>
              <w:bottom w:val="single" w:color="auto" w:sz="4" w:space="0"/>
              <w:right w:val="single" w:color="auto" w:sz="4" w:space="0"/>
            </w:tcBorders>
            <w:shd w:val="clear" w:color="auto" w:fill="auto"/>
            <w:vAlign w:val="center"/>
          </w:tcPr>
          <w:p w14:paraId="389A1FE4">
            <w:pPr>
              <w:pStyle w:val="21"/>
              <w:ind w:firstLine="0" w:firstLineChars="0"/>
              <w:rPr>
                <w:rFonts w:ascii="仿宋" w:hAnsi="仿宋" w:eastAsia="仿宋"/>
                <w:sz w:val="24"/>
                <w:szCs w:val="28"/>
              </w:rPr>
            </w:pPr>
            <w:r>
              <w:rPr>
                <w:rFonts w:hint="eastAsia" w:ascii="仿宋" w:hAnsi="仿宋" w:eastAsia="仿宋"/>
                <w:sz w:val="24"/>
                <w:szCs w:val="28"/>
              </w:rPr>
              <w:t>要情查询</w:t>
            </w:r>
          </w:p>
        </w:tc>
        <w:tc>
          <w:tcPr>
            <w:tcW w:w="5952" w:type="dxa"/>
            <w:tcBorders>
              <w:top w:val="nil"/>
              <w:left w:val="nil"/>
              <w:bottom w:val="single" w:color="auto" w:sz="4" w:space="0"/>
              <w:right w:val="single" w:color="auto" w:sz="4" w:space="0"/>
            </w:tcBorders>
            <w:shd w:val="clear" w:color="auto" w:fill="auto"/>
            <w:vAlign w:val="center"/>
          </w:tcPr>
          <w:p w14:paraId="470BD0A7">
            <w:pPr>
              <w:pStyle w:val="21"/>
              <w:ind w:firstLine="0" w:firstLineChars="0"/>
              <w:rPr>
                <w:rFonts w:ascii="仿宋" w:hAnsi="仿宋" w:eastAsia="仿宋"/>
                <w:sz w:val="24"/>
                <w:szCs w:val="28"/>
              </w:rPr>
            </w:pPr>
            <w:r>
              <w:rPr>
                <w:rFonts w:hint="eastAsia" w:ascii="仿宋" w:hAnsi="仿宋" w:eastAsia="仿宋"/>
                <w:sz w:val="24"/>
                <w:szCs w:val="28"/>
              </w:rPr>
              <w:t>基金监管部门通过要情名称、要情发生地区、要情编码、要情发生 起止时间、要情类型、处理状态、上报状态、要情发现方式、险种类型、涉案金额等条件快速筛查、查看要情报告。</w:t>
            </w:r>
          </w:p>
        </w:tc>
      </w:tr>
    </w:tbl>
    <w:p w14:paraId="5BDBAEC8">
      <w:pPr>
        <w:spacing w:line="360" w:lineRule="auto"/>
        <w:ind w:left="0" w:leftChars="0" w:firstLine="640" w:firstLineChars="200"/>
        <w:outlineLvl w:val="3"/>
        <w:rPr>
          <w:rFonts w:ascii="仿宋" w:hAnsi="仿宋" w:eastAsia="仿宋"/>
          <w:sz w:val="32"/>
          <w:szCs w:val="32"/>
        </w:rPr>
      </w:pPr>
      <w:bookmarkStart w:id="3" w:name="_Toc184318809"/>
      <w:r>
        <w:rPr>
          <w:rFonts w:hint="eastAsia" w:ascii="仿宋" w:hAnsi="仿宋" w:eastAsia="仿宋"/>
          <w:sz w:val="32"/>
          <w:szCs w:val="32"/>
        </w:rPr>
        <w:t>4.监督办公</w:t>
      </w:r>
      <w:bookmarkEnd w:id="3"/>
    </w:p>
    <w:p w14:paraId="2C8E7C01">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基金监管人员，根据实际工作需要进行线上公文的发送与收取，作为传达和贯彻加强社会保险基金监管工作的各项方针政策的工具。通过政策法规实现政策法规电子化的存档和查阅，另外通过在线填报工具实现人社部下发的疑点信息的下发、核实和汇总。功能包含文件收发、政策法规、在线填报3个模块功能。</w:t>
      </w:r>
    </w:p>
    <w:tbl>
      <w:tblPr>
        <w:tblStyle w:val="15"/>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76"/>
        <w:gridCol w:w="1190"/>
        <w:gridCol w:w="1730"/>
        <w:gridCol w:w="4468"/>
      </w:tblGrid>
      <w:tr w14:paraId="2001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0" w:type="dxa"/>
            <w:shd w:val="clear" w:color="auto" w:fill="FFFFFF"/>
            <w:vAlign w:val="center"/>
          </w:tcPr>
          <w:p w14:paraId="1276ECBA">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980" w:type="dxa"/>
            <w:gridSpan w:val="2"/>
            <w:shd w:val="clear" w:color="auto" w:fill="FFFFFF"/>
            <w:vAlign w:val="center"/>
          </w:tcPr>
          <w:p w14:paraId="71897C81">
            <w:pPr>
              <w:pStyle w:val="21"/>
              <w:rPr>
                <w:rFonts w:ascii="仿宋" w:hAnsi="仿宋" w:eastAsia="仿宋"/>
                <w:sz w:val="24"/>
                <w:szCs w:val="28"/>
              </w:rPr>
            </w:pPr>
            <w:r>
              <w:rPr>
                <w:rFonts w:hint="eastAsia" w:ascii="仿宋" w:hAnsi="仿宋" w:eastAsia="仿宋"/>
                <w:sz w:val="24"/>
                <w:szCs w:val="28"/>
              </w:rPr>
              <w:t>事项名称</w:t>
            </w:r>
          </w:p>
        </w:tc>
        <w:tc>
          <w:tcPr>
            <w:tcW w:w="4604" w:type="dxa"/>
            <w:shd w:val="clear" w:color="auto" w:fill="FFFFFF"/>
            <w:vAlign w:val="center"/>
          </w:tcPr>
          <w:p w14:paraId="3962C77D">
            <w:pPr>
              <w:pStyle w:val="21"/>
              <w:rPr>
                <w:rFonts w:ascii="仿宋" w:hAnsi="仿宋" w:eastAsia="仿宋"/>
                <w:sz w:val="24"/>
                <w:szCs w:val="28"/>
              </w:rPr>
            </w:pPr>
            <w:r>
              <w:rPr>
                <w:rFonts w:hint="eastAsia" w:ascii="仿宋" w:hAnsi="仿宋" w:eastAsia="仿宋"/>
                <w:sz w:val="24"/>
                <w:szCs w:val="28"/>
              </w:rPr>
              <w:t>需求描述</w:t>
            </w:r>
          </w:p>
        </w:tc>
      </w:tr>
      <w:tr w14:paraId="1A5F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780" w:type="dxa"/>
            <w:shd w:val="clear" w:color="auto" w:fill="FFFFFF"/>
            <w:vAlign w:val="center"/>
          </w:tcPr>
          <w:p w14:paraId="1F8AC46A">
            <w:pPr>
              <w:pStyle w:val="21"/>
              <w:rPr>
                <w:rFonts w:ascii="仿宋" w:hAnsi="仿宋" w:eastAsia="仿宋"/>
                <w:sz w:val="24"/>
                <w:szCs w:val="28"/>
              </w:rPr>
            </w:pPr>
            <w:r>
              <w:rPr>
                <w:rFonts w:hint="eastAsia" w:ascii="仿宋" w:hAnsi="仿宋" w:eastAsia="仿宋"/>
                <w:sz w:val="24"/>
                <w:szCs w:val="28"/>
              </w:rPr>
              <w:t>1</w:t>
            </w:r>
          </w:p>
        </w:tc>
        <w:tc>
          <w:tcPr>
            <w:tcW w:w="1220" w:type="dxa"/>
            <w:vMerge w:val="restart"/>
            <w:shd w:val="clear" w:color="auto" w:fill="FFFFFF"/>
            <w:vAlign w:val="center"/>
          </w:tcPr>
          <w:p w14:paraId="6C46FF76">
            <w:pPr>
              <w:pStyle w:val="21"/>
              <w:ind w:firstLine="0" w:firstLineChars="0"/>
              <w:rPr>
                <w:rFonts w:ascii="仿宋" w:hAnsi="仿宋" w:eastAsia="仿宋"/>
                <w:sz w:val="24"/>
                <w:szCs w:val="28"/>
              </w:rPr>
            </w:pPr>
            <w:r>
              <w:rPr>
                <w:rFonts w:hint="eastAsia" w:ascii="仿宋" w:hAnsi="仿宋" w:eastAsia="仿宋"/>
                <w:sz w:val="24"/>
                <w:szCs w:val="28"/>
              </w:rPr>
              <w:t>文件收发</w:t>
            </w:r>
          </w:p>
        </w:tc>
        <w:tc>
          <w:tcPr>
            <w:tcW w:w="1760" w:type="dxa"/>
            <w:shd w:val="clear" w:color="auto" w:fill="FFFFFF"/>
            <w:vAlign w:val="center"/>
          </w:tcPr>
          <w:p w14:paraId="4FE2DCA1">
            <w:pPr>
              <w:pStyle w:val="21"/>
              <w:ind w:firstLine="0" w:firstLineChars="0"/>
              <w:rPr>
                <w:rFonts w:ascii="仿宋" w:hAnsi="仿宋" w:eastAsia="仿宋"/>
                <w:sz w:val="24"/>
                <w:szCs w:val="28"/>
              </w:rPr>
            </w:pPr>
            <w:r>
              <w:rPr>
                <w:rFonts w:hint="eastAsia" w:ascii="仿宋" w:hAnsi="仿宋" w:eastAsia="仿宋"/>
                <w:sz w:val="24"/>
                <w:szCs w:val="28"/>
              </w:rPr>
              <w:t>发文管理</w:t>
            </w:r>
          </w:p>
        </w:tc>
        <w:tc>
          <w:tcPr>
            <w:tcW w:w="4604" w:type="dxa"/>
            <w:shd w:val="clear" w:color="auto" w:fill="FFFFFF"/>
            <w:vAlign w:val="center"/>
          </w:tcPr>
          <w:p w14:paraId="4003FC31">
            <w:pPr>
              <w:pStyle w:val="21"/>
              <w:ind w:firstLine="0" w:firstLineChars="0"/>
              <w:rPr>
                <w:rFonts w:ascii="仿宋" w:hAnsi="仿宋" w:eastAsia="仿宋"/>
                <w:sz w:val="24"/>
                <w:szCs w:val="28"/>
              </w:rPr>
            </w:pPr>
            <w:r>
              <w:rPr>
                <w:rFonts w:hint="eastAsia" w:ascii="仿宋" w:hAnsi="仿宋" w:eastAsia="仿宋"/>
                <w:sz w:val="24"/>
                <w:szCs w:val="28"/>
              </w:rPr>
              <w:t>基金监管工作人员按需拟文，明确文件标题、牵头部门、配合部门、公文类型、流程状态、处理人、创建日期等内容信息定时发送。</w:t>
            </w:r>
          </w:p>
        </w:tc>
      </w:tr>
      <w:tr w14:paraId="0A4D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0" w:type="dxa"/>
            <w:shd w:val="clear" w:color="auto" w:fill="FFFFFF"/>
            <w:vAlign w:val="center"/>
          </w:tcPr>
          <w:p w14:paraId="5EDFD88C">
            <w:pPr>
              <w:pStyle w:val="21"/>
              <w:rPr>
                <w:rFonts w:ascii="仿宋" w:hAnsi="仿宋" w:eastAsia="仿宋"/>
                <w:sz w:val="24"/>
                <w:szCs w:val="28"/>
              </w:rPr>
            </w:pPr>
            <w:r>
              <w:rPr>
                <w:rFonts w:hint="eastAsia" w:ascii="仿宋" w:hAnsi="仿宋" w:eastAsia="仿宋"/>
                <w:sz w:val="24"/>
                <w:szCs w:val="28"/>
              </w:rPr>
              <w:t>2</w:t>
            </w:r>
          </w:p>
        </w:tc>
        <w:tc>
          <w:tcPr>
            <w:tcW w:w="1220" w:type="dxa"/>
            <w:vMerge w:val="continue"/>
            <w:shd w:val="clear" w:color="auto" w:fill="FFFFFF"/>
            <w:vAlign w:val="center"/>
          </w:tcPr>
          <w:p w14:paraId="5C53E506">
            <w:pPr>
              <w:pStyle w:val="21"/>
              <w:rPr>
                <w:rFonts w:ascii="仿宋" w:hAnsi="仿宋" w:eastAsia="仿宋"/>
                <w:sz w:val="24"/>
                <w:szCs w:val="28"/>
              </w:rPr>
            </w:pPr>
          </w:p>
        </w:tc>
        <w:tc>
          <w:tcPr>
            <w:tcW w:w="1760" w:type="dxa"/>
            <w:shd w:val="clear" w:color="auto" w:fill="FFFFFF"/>
            <w:vAlign w:val="center"/>
          </w:tcPr>
          <w:p w14:paraId="2D88531C">
            <w:pPr>
              <w:pStyle w:val="21"/>
              <w:ind w:firstLine="0" w:firstLineChars="0"/>
              <w:rPr>
                <w:rFonts w:ascii="仿宋" w:hAnsi="仿宋" w:eastAsia="仿宋"/>
                <w:sz w:val="24"/>
                <w:szCs w:val="28"/>
              </w:rPr>
            </w:pPr>
            <w:r>
              <w:rPr>
                <w:rFonts w:hint="eastAsia" w:ascii="仿宋" w:hAnsi="仿宋" w:eastAsia="仿宋"/>
                <w:sz w:val="24"/>
                <w:szCs w:val="28"/>
              </w:rPr>
              <w:t>收文管理</w:t>
            </w:r>
          </w:p>
        </w:tc>
        <w:tc>
          <w:tcPr>
            <w:tcW w:w="4604" w:type="dxa"/>
            <w:shd w:val="clear" w:color="auto" w:fill="FFFFFF"/>
            <w:vAlign w:val="center"/>
          </w:tcPr>
          <w:p w14:paraId="75B28EBB">
            <w:pPr>
              <w:pStyle w:val="21"/>
              <w:ind w:firstLine="0" w:firstLineChars="0"/>
              <w:rPr>
                <w:rFonts w:ascii="仿宋" w:hAnsi="仿宋" w:eastAsia="仿宋"/>
                <w:sz w:val="24"/>
                <w:szCs w:val="28"/>
              </w:rPr>
            </w:pPr>
            <w:r>
              <w:rPr>
                <w:rFonts w:hint="eastAsia" w:ascii="仿宋" w:hAnsi="仿宋" w:eastAsia="仿宋"/>
                <w:sz w:val="24"/>
                <w:szCs w:val="28"/>
              </w:rPr>
              <w:t>基金监管工作人员实时收取公文，依据公文类别进行查阅或回复。</w:t>
            </w:r>
          </w:p>
        </w:tc>
      </w:tr>
      <w:tr w14:paraId="2C6F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0" w:type="dxa"/>
            <w:shd w:val="clear" w:color="auto" w:fill="FFFFFF"/>
            <w:vAlign w:val="center"/>
          </w:tcPr>
          <w:p w14:paraId="24C50A6B">
            <w:pPr>
              <w:pStyle w:val="21"/>
              <w:rPr>
                <w:rFonts w:ascii="仿宋" w:hAnsi="仿宋" w:eastAsia="仿宋"/>
                <w:sz w:val="24"/>
                <w:szCs w:val="28"/>
              </w:rPr>
            </w:pPr>
            <w:r>
              <w:rPr>
                <w:rFonts w:hint="eastAsia" w:ascii="仿宋" w:hAnsi="仿宋" w:eastAsia="仿宋"/>
                <w:sz w:val="24"/>
                <w:szCs w:val="28"/>
              </w:rPr>
              <w:t>3</w:t>
            </w:r>
          </w:p>
        </w:tc>
        <w:tc>
          <w:tcPr>
            <w:tcW w:w="1220" w:type="dxa"/>
            <w:vMerge w:val="restart"/>
            <w:shd w:val="clear" w:color="auto" w:fill="FFFFFF"/>
            <w:vAlign w:val="center"/>
          </w:tcPr>
          <w:p w14:paraId="6994A697">
            <w:pPr>
              <w:pStyle w:val="21"/>
              <w:ind w:firstLine="0" w:firstLineChars="0"/>
              <w:rPr>
                <w:rFonts w:ascii="仿宋" w:hAnsi="仿宋" w:eastAsia="仿宋"/>
                <w:sz w:val="24"/>
                <w:szCs w:val="28"/>
              </w:rPr>
            </w:pPr>
            <w:r>
              <w:rPr>
                <w:rFonts w:hint="eastAsia" w:ascii="仿宋" w:hAnsi="仿宋" w:eastAsia="仿宋"/>
                <w:sz w:val="24"/>
                <w:szCs w:val="28"/>
              </w:rPr>
              <w:t>政策法规</w:t>
            </w:r>
          </w:p>
        </w:tc>
        <w:tc>
          <w:tcPr>
            <w:tcW w:w="1760" w:type="dxa"/>
            <w:shd w:val="clear" w:color="auto" w:fill="FFFFFF"/>
            <w:vAlign w:val="center"/>
          </w:tcPr>
          <w:p w14:paraId="338F2388">
            <w:pPr>
              <w:pStyle w:val="21"/>
              <w:ind w:firstLine="0" w:firstLineChars="0"/>
              <w:rPr>
                <w:rFonts w:ascii="仿宋" w:hAnsi="仿宋" w:eastAsia="仿宋"/>
                <w:sz w:val="24"/>
                <w:szCs w:val="28"/>
              </w:rPr>
            </w:pPr>
            <w:r>
              <w:rPr>
                <w:rFonts w:hint="eastAsia" w:ascii="仿宋" w:hAnsi="仿宋" w:eastAsia="仿宋"/>
                <w:sz w:val="24"/>
                <w:szCs w:val="28"/>
              </w:rPr>
              <w:t>政策法规管理</w:t>
            </w:r>
          </w:p>
        </w:tc>
        <w:tc>
          <w:tcPr>
            <w:tcW w:w="4604" w:type="dxa"/>
            <w:shd w:val="clear" w:color="auto" w:fill="FFFFFF"/>
            <w:vAlign w:val="center"/>
          </w:tcPr>
          <w:p w14:paraId="02936051">
            <w:pPr>
              <w:pStyle w:val="21"/>
              <w:ind w:firstLine="0" w:firstLineChars="0"/>
              <w:rPr>
                <w:rFonts w:ascii="仿宋" w:hAnsi="仿宋" w:eastAsia="仿宋"/>
                <w:sz w:val="24"/>
                <w:szCs w:val="28"/>
              </w:rPr>
            </w:pPr>
            <w:r>
              <w:rPr>
                <w:rFonts w:hint="eastAsia" w:ascii="仿宋" w:hAnsi="仿宋" w:eastAsia="仿宋"/>
                <w:sz w:val="24"/>
                <w:szCs w:val="28"/>
              </w:rPr>
              <w:t>依据贵州省政策法规相关信息，将法律、行政法规、国务院规范性文件、地方性法规、人社部规章、人社部规范性文件、贵州省规章、人社部规范性文件、贵州省规章、贵州省发规范性文件、其他、政策解读等政策法规类型进行信息管理。</w:t>
            </w:r>
          </w:p>
        </w:tc>
      </w:tr>
      <w:tr w14:paraId="2B76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0" w:type="dxa"/>
            <w:shd w:val="clear" w:color="auto" w:fill="FFFFFF"/>
            <w:vAlign w:val="center"/>
          </w:tcPr>
          <w:p w14:paraId="3B5040E3">
            <w:pPr>
              <w:pStyle w:val="21"/>
              <w:rPr>
                <w:rFonts w:ascii="仿宋" w:hAnsi="仿宋" w:eastAsia="仿宋"/>
                <w:sz w:val="24"/>
                <w:szCs w:val="28"/>
              </w:rPr>
            </w:pPr>
            <w:r>
              <w:rPr>
                <w:rFonts w:hint="eastAsia" w:ascii="仿宋" w:hAnsi="仿宋" w:eastAsia="仿宋"/>
                <w:sz w:val="24"/>
                <w:szCs w:val="28"/>
              </w:rPr>
              <w:t>4</w:t>
            </w:r>
          </w:p>
        </w:tc>
        <w:tc>
          <w:tcPr>
            <w:tcW w:w="1220" w:type="dxa"/>
            <w:vMerge w:val="continue"/>
            <w:shd w:val="clear" w:color="auto" w:fill="FFFFFF"/>
            <w:vAlign w:val="center"/>
          </w:tcPr>
          <w:p w14:paraId="1A796DB9">
            <w:pPr>
              <w:pStyle w:val="21"/>
              <w:rPr>
                <w:rFonts w:ascii="仿宋" w:hAnsi="仿宋" w:eastAsia="仿宋"/>
                <w:sz w:val="24"/>
                <w:szCs w:val="28"/>
              </w:rPr>
            </w:pPr>
          </w:p>
        </w:tc>
        <w:tc>
          <w:tcPr>
            <w:tcW w:w="1760" w:type="dxa"/>
            <w:shd w:val="clear" w:color="auto" w:fill="FFFFFF"/>
            <w:vAlign w:val="center"/>
          </w:tcPr>
          <w:p w14:paraId="69F59D75">
            <w:pPr>
              <w:pStyle w:val="21"/>
              <w:ind w:firstLine="0" w:firstLineChars="0"/>
              <w:rPr>
                <w:rFonts w:ascii="仿宋" w:hAnsi="仿宋" w:eastAsia="仿宋"/>
                <w:sz w:val="24"/>
                <w:szCs w:val="28"/>
              </w:rPr>
            </w:pPr>
            <w:r>
              <w:rPr>
                <w:rFonts w:hint="eastAsia" w:ascii="仿宋" w:hAnsi="仿宋" w:eastAsia="仿宋"/>
                <w:sz w:val="24"/>
                <w:szCs w:val="28"/>
              </w:rPr>
              <w:t>政策法规查询</w:t>
            </w:r>
          </w:p>
        </w:tc>
        <w:tc>
          <w:tcPr>
            <w:tcW w:w="4604" w:type="dxa"/>
            <w:shd w:val="clear" w:color="auto" w:fill="FFFFFF"/>
            <w:vAlign w:val="center"/>
          </w:tcPr>
          <w:p w14:paraId="2A08FB7B">
            <w:pPr>
              <w:pStyle w:val="21"/>
              <w:ind w:firstLine="0" w:firstLineChars="0"/>
              <w:rPr>
                <w:rFonts w:ascii="仿宋" w:hAnsi="仿宋" w:eastAsia="仿宋"/>
                <w:sz w:val="24"/>
                <w:szCs w:val="28"/>
              </w:rPr>
            </w:pPr>
            <w:r>
              <w:rPr>
                <w:rFonts w:hint="eastAsia" w:ascii="仿宋" w:hAnsi="仿宋" w:eastAsia="仿宋"/>
                <w:sz w:val="24"/>
                <w:szCs w:val="28"/>
              </w:rPr>
              <w:t>通过对年度、文档标题、索引号、政策法规类型、发布日期等筛查、查看。</w:t>
            </w:r>
          </w:p>
        </w:tc>
      </w:tr>
      <w:tr w14:paraId="5406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trPr>
        <w:tc>
          <w:tcPr>
            <w:tcW w:w="780" w:type="dxa"/>
            <w:shd w:val="clear" w:color="auto" w:fill="FFFFFF"/>
            <w:vAlign w:val="center"/>
          </w:tcPr>
          <w:p w14:paraId="10125789">
            <w:pPr>
              <w:pStyle w:val="21"/>
              <w:rPr>
                <w:rFonts w:ascii="仿宋" w:hAnsi="仿宋" w:eastAsia="仿宋"/>
                <w:sz w:val="24"/>
                <w:szCs w:val="28"/>
              </w:rPr>
            </w:pPr>
            <w:r>
              <w:rPr>
                <w:rFonts w:hint="eastAsia" w:ascii="仿宋" w:hAnsi="仿宋" w:eastAsia="仿宋"/>
                <w:sz w:val="24"/>
                <w:szCs w:val="28"/>
              </w:rPr>
              <w:t>5</w:t>
            </w:r>
          </w:p>
        </w:tc>
        <w:tc>
          <w:tcPr>
            <w:tcW w:w="1220" w:type="dxa"/>
            <w:shd w:val="clear" w:color="auto" w:fill="FFFFFF"/>
            <w:vAlign w:val="center"/>
          </w:tcPr>
          <w:p w14:paraId="288BB391">
            <w:pPr>
              <w:pStyle w:val="21"/>
              <w:ind w:firstLine="0" w:firstLineChars="0"/>
              <w:rPr>
                <w:rFonts w:ascii="仿宋" w:hAnsi="仿宋" w:eastAsia="仿宋"/>
                <w:sz w:val="24"/>
                <w:szCs w:val="28"/>
              </w:rPr>
            </w:pPr>
            <w:r>
              <w:rPr>
                <w:rFonts w:hint="eastAsia" w:ascii="仿宋" w:hAnsi="仿宋" w:eastAsia="仿宋"/>
                <w:sz w:val="24"/>
                <w:szCs w:val="28"/>
              </w:rPr>
              <w:t>在线填报</w:t>
            </w:r>
          </w:p>
        </w:tc>
        <w:tc>
          <w:tcPr>
            <w:tcW w:w="1760" w:type="dxa"/>
            <w:shd w:val="clear" w:color="auto" w:fill="FFFFFF"/>
            <w:vAlign w:val="center"/>
          </w:tcPr>
          <w:p w14:paraId="4C288EDF">
            <w:pPr>
              <w:pStyle w:val="21"/>
              <w:rPr>
                <w:rFonts w:ascii="仿宋" w:hAnsi="仿宋" w:eastAsia="仿宋"/>
                <w:sz w:val="24"/>
                <w:szCs w:val="28"/>
              </w:rPr>
            </w:pPr>
            <w:r>
              <w:rPr>
                <w:rFonts w:hint="eastAsia" w:ascii="仿宋" w:hAnsi="仿宋" w:eastAsia="仿宋"/>
                <w:sz w:val="24"/>
                <w:szCs w:val="28"/>
              </w:rPr>
              <w:t>-</w:t>
            </w:r>
          </w:p>
        </w:tc>
        <w:tc>
          <w:tcPr>
            <w:tcW w:w="4604" w:type="dxa"/>
            <w:shd w:val="clear" w:color="auto" w:fill="FFFFFF"/>
            <w:vAlign w:val="center"/>
          </w:tcPr>
          <w:p w14:paraId="5CC67069">
            <w:pPr>
              <w:pStyle w:val="21"/>
              <w:ind w:firstLine="0" w:firstLineChars="0"/>
              <w:rPr>
                <w:rFonts w:ascii="仿宋" w:hAnsi="仿宋" w:eastAsia="仿宋"/>
                <w:sz w:val="24"/>
                <w:szCs w:val="28"/>
              </w:rPr>
            </w:pPr>
            <w:r>
              <w:rPr>
                <w:rFonts w:hint="eastAsia" w:ascii="仿宋" w:hAnsi="仿宋" w:eastAsia="仿宋"/>
                <w:sz w:val="24"/>
                <w:szCs w:val="28"/>
              </w:rPr>
              <w:t>实现人社部下发的疑点信息及各部门报表填表需求的下发、核实和汇总</w:t>
            </w:r>
          </w:p>
        </w:tc>
      </w:tr>
      <w:tr w14:paraId="4F5A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0" w:type="dxa"/>
            <w:shd w:val="clear" w:color="auto" w:fill="FFFFFF"/>
            <w:vAlign w:val="center"/>
          </w:tcPr>
          <w:p w14:paraId="6982CA49">
            <w:pPr>
              <w:pStyle w:val="21"/>
              <w:rPr>
                <w:rFonts w:ascii="仿宋" w:hAnsi="仿宋" w:eastAsia="仿宋"/>
                <w:sz w:val="24"/>
                <w:szCs w:val="28"/>
              </w:rPr>
            </w:pPr>
            <w:r>
              <w:rPr>
                <w:rFonts w:hint="eastAsia" w:ascii="仿宋" w:hAnsi="仿宋" w:eastAsia="仿宋"/>
                <w:sz w:val="24"/>
                <w:szCs w:val="28"/>
              </w:rPr>
              <w:t>6</w:t>
            </w:r>
          </w:p>
        </w:tc>
        <w:tc>
          <w:tcPr>
            <w:tcW w:w="1220" w:type="dxa"/>
            <w:shd w:val="clear" w:color="auto" w:fill="FFFFFF"/>
            <w:vAlign w:val="center"/>
          </w:tcPr>
          <w:p w14:paraId="1700D5EF">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问答助手</w:t>
            </w:r>
          </w:p>
        </w:tc>
        <w:tc>
          <w:tcPr>
            <w:tcW w:w="1760" w:type="dxa"/>
            <w:shd w:val="clear" w:color="auto" w:fill="FFFFFF"/>
            <w:vAlign w:val="center"/>
          </w:tcPr>
          <w:p w14:paraId="14131945">
            <w:pPr>
              <w:pStyle w:val="21"/>
              <w:rPr>
                <w:rFonts w:ascii="仿宋" w:hAnsi="仿宋" w:eastAsia="仿宋"/>
                <w:color w:val="000000" w:themeColor="text1"/>
                <w:sz w:val="24"/>
                <w:szCs w:val="28"/>
                <w14:textFill>
                  <w14:solidFill>
                    <w14:schemeClr w14:val="tx1"/>
                  </w14:solidFill>
                </w14:textFill>
              </w:rPr>
            </w:pPr>
          </w:p>
        </w:tc>
        <w:tc>
          <w:tcPr>
            <w:tcW w:w="4604" w:type="dxa"/>
            <w:shd w:val="clear" w:color="auto" w:fill="FFFFFF"/>
            <w:vAlign w:val="center"/>
          </w:tcPr>
          <w:p w14:paraId="3FB71482">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利用目前流行的人工智能模型，提供基础的智能问答服务，基于监管知识图谱开发查询功能，支持如</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重复领取城乡居民养老金的违规依据有哪些？</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等自然语言查询，自动定位相关政策条文与处置案例。</w:t>
            </w:r>
          </w:p>
        </w:tc>
      </w:tr>
    </w:tbl>
    <w:p w14:paraId="6E1B7344">
      <w:pPr>
        <w:spacing w:line="360" w:lineRule="auto"/>
        <w:ind w:left="0" w:leftChars="0" w:firstLine="640" w:firstLineChars="200"/>
        <w:outlineLvl w:val="3"/>
        <w:rPr>
          <w:rFonts w:ascii="仿宋" w:hAnsi="仿宋" w:eastAsia="仿宋"/>
          <w:sz w:val="32"/>
          <w:szCs w:val="32"/>
        </w:rPr>
      </w:pPr>
      <w:bookmarkStart w:id="4" w:name="_Toc184318810"/>
      <w:r>
        <w:rPr>
          <w:rFonts w:hint="eastAsia" w:ascii="仿宋" w:hAnsi="仿宋" w:eastAsia="仿宋"/>
          <w:sz w:val="32"/>
          <w:szCs w:val="32"/>
        </w:rPr>
        <w:t>5.社保基金举报管理</w:t>
      </w:r>
      <w:bookmarkEnd w:id="4"/>
    </w:p>
    <w:p w14:paraId="20E52F4B">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按照《社会保险基金监督举报工作管理办法》（中华人民共和国人力资源和社会保障部令第49号）、《贵州省社会保险基金监督举报奖励实施细则》等相关文件，对举报人向贵州省、地市、区县人社行政部门举报关于欺诈冒领社保基金、挤占挪用社保基金等违法违纪行为，人社行政部门依法受理并进行查处，对实名举报的及时反馈处理的结果进行登记并存档，根据政策要求对举报奖励相关事项进行登记并存档。功能包括举报管理，包含举报登记、举报核实、举报结案、举报查询四个子功能。举报奖励，包含奖励申请、奖励审批、奖励发放、奖励查询四个子功能。举报信息共享，实现基金监管部门与业务经办部门的信息共享。</w:t>
      </w:r>
    </w:p>
    <w:tbl>
      <w:tblPr>
        <w:tblStyle w:val="15"/>
        <w:tblW w:w="8364" w:type="dxa"/>
        <w:tblInd w:w="-5" w:type="dxa"/>
        <w:tblLayout w:type="autofit"/>
        <w:tblCellMar>
          <w:top w:w="0" w:type="dxa"/>
          <w:left w:w="108" w:type="dxa"/>
          <w:bottom w:w="0" w:type="dxa"/>
          <w:right w:w="108" w:type="dxa"/>
        </w:tblCellMar>
      </w:tblPr>
      <w:tblGrid>
        <w:gridCol w:w="976"/>
        <w:gridCol w:w="1196"/>
        <w:gridCol w:w="1716"/>
        <w:gridCol w:w="4476"/>
      </w:tblGrid>
      <w:tr w14:paraId="50389CD0">
        <w:tblPrEx>
          <w:tblCellMar>
            <w:top w:w="0" w:type="dxa"/>
            <w:left w:w="108" w:type="dxa"/>
            <w:bottom w:w="0" w:type="dxa"/>
            <w:right w:w="108" w:type="dxa"/>
          </w:tblCellMar>
        </w:tblPrEx>
        <w:trPr>
          <w:trHeight w:val="70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0933EFB">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C1D02F">
            <w:pPr>
              <w:pStyle w:val="21"/>
              <w:rPr>
                <w:rFonts w:ascii="仿宋" w:hAnsi="仿宋" w:eastAsia="仿宋"/>
                <w:sz w:val="24"/>
                <w:szCs w:val="28"/>
              </w:rPr>
            </w:pPr>
            <w:r>
              <w:rPr>
                <w:rFonts w:hint="eastAsia" w:ascii="仿宋" w:hAnsi="仿宋" w:eastAsia="仿宋"/>
                <w:sz w:val="24"/>
                <w:szCs w:val="28"/>
              </w:rPr>
              <w:t>事项名称</w:t>
            </w:r>
          </w:p>
        </w:tc>
        <w:tc>
          <w:tcPr>
            <w:tcW w:w="4604" w:type="dxa"/>
            <w:tcBorders>
              <w:top w:val="single" w:color="auto" w:sz="4" w:space="0"/>
              <w:left w:val="nil"/>
              <w:bottom w:val="single" w:color="auto" w:sz="4" w:space="0"/>
              <w:right w:val="single" w:color="auto" w:sz="4" w:space="0"/>
            </w:tcBorders>
            <w:shd w:val="clear" w:color="auto" w:fill="auto"/>
            <w:vAlign w:val="center"/>
          </w:tcPr>
          <w:p w14:paraId="47904CCD">
            <w:pPr>
              <w:pStyle w:val="21"/>
              <w:rPr>
                <w:rFonts w:ascii="仿宋" w:hAnsi="仿宋" w:eastAsia="仿宋"/>
                <w:sz w:val="24"/>
                <w:szCs w:val="28"/>
              </w:rPr>
            </w:pPr>
            <w:r>
              <w:rPr>
                <w:rFonts w:hint="eastAsia" w:ascii="仿宋" w:hAnsi="仿宋" w:eastAsia="仿宋"/>
                <w:sz w:val="24"/>
                <w:szCs w:val="28"/>
              </w:rPr>
              <w:t>需求描述</w:t>
            </w:r>
          </w:p>
        </w:tc>
      </w:tr>
      <w:tr w14:paraId="1B9C21D2">
        <w:tblPrEx>
          <w:tblCellMar>
            <w:top w:w="0" w:type="dxa"/>
            <w:left w:w="108" w:type="dxa"/>
            <w:bottom w:w="0" w:type="dxa"/>
            <w:right w:w="108" w:type="dxa"/>
          </w:tblCellMar>
        </w:tblPrEx>
        <w:trPr>
          <w:trHeight w:val="70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DB8E5B5">
            <w:pPr>
              <w:pStyle w:val="21"/>
              <w:rPr>
                <w:rFonts w:ascii="仿宋" w:hAnsi="仿宋" w:eastAsia="仿宋"/>
                <w:sz w:val="24"/>
                <w:szCs w:val="28"/>
              </w:rPr>
            </w:pPr>
            <w:r>
              <w:rPr>
                <w:rFonts w:hint="eastAsia" w:ascii="仿宋" w:hAnsi="仿宋" w:eastAsia="仿宋"/>
                <w:sz w:val="24"/>
                <w:szCs w:val="28"/>
              </w:rPr>
              <w:t>1</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E18F79">
            <w:pPr>
              <w:pStyle w:val="21"/>
              <w:ind w:firstLine="0" w:firstLineChars="0"/>
              <w:rPr>
                <w:rFonts w:ascii="仿宋" w:hAnsi="仿宋" w:eastAsia="仿宋"/>
                <w:sz w:val="24"/>
                <w:szCs w:val="28"/>
              </w:rPr>
            </w:pPr>
            <w:r>
              <w:rPr>
                <w:rFonts w:hint="eastAsia" w:ascii="仿宋" w:hAnsi="仿宋" w:eastAsia="仿宋"/>
                <w:sz w:val="24"/>
                <w:szCs w:val="28"/>
              </w:rPr>
              <w:t>举报办理</w:t>
            </w:r>
          </w:p>
        </w:tc>
        <w:tc>
          <w:tcPr>
            <w:tcW w:w="1760" w:type="dxa"/>
            <w:tcBorders>
              <w:top w:val="single" w:color="auto" w:sz="4" w:space="0"/>
              <w:left w:val="nil"/>
              <w:bottom w:val="single" w:color="auto" w:sz="4" w:space="0"/>
              <w:right w:val="single" w:color="auto" w:sz="4" w:space="0"/>
            </w:tcBorders>
            <w:shd w:val="clear" w:color="auto" w:fill="auto"/>
            <w:vAlign w:val="center"/>
          </w:tcPr>
          <w:p w14:paraId="2455936F">
            <w:pPr>
              <w:pStyle w:val="21"/>
              <w:ind w:firstLine="0" w:firstLineChars="0"/>
              <w:rPr>
                <w:rFonts w:ascii="仿宋" w:hAnsi="仿宋" w:eastAsia="仿宋"/>
                <w:sz w:val="24"/>
                <w:szCs w:val="28"/>
              </w:rPr>
            </w:pPr>
            <w:r>
              <w:rPr>
                <w:rFonts w:hint="eastAsia" w:ascii="仿宋" w:hAnsi="仿宋" w:eastAsia="仿宋"/>
                <w:sz w:val="24"/>
                <w:szCs w:val="28"/>
              </w:rPr>
              <w:t>举报登记</w:t>
            </w:r>
          </w:p>
        </w:tc>
        <w:tc>
          <w:tcPr>
            <w:tcW w:w="4604" w:type="dxa"/>
            <w:tcBorders>
              <w:top w:val="single" w:color="auto" w:sz="4" w:space="0"/>
              <w:left w:val="nil"/>
              <w:bottom w:val="single" w:color="auto" w:sz="4" w:space="0"/>
              <w:right w:val="single" w:color="auto" w:sz="4" w:space="0"/>
            </w:tcBorders>
            <w:shd w:val="clear" w:color="auto" w:fill="auto"/>
            <w:vAlign w:val="center"/>
          </w:tcPr>
          <w:p w14:paraId="30FB7C2E">
            <w:pPr>
              <w:pStyle w:val="21"/>
              <w:ind w:firstLine="0" w:firstLineChars="0"/>
              <w:rPr>
                <w:rFonts w:ascii="仿宋" w:hAnsi="仿宋" w:eastAsia="仿宋"/>
                <w:sz w:val="24"/>
                <w:szCs w:val="28"/>
              </w:rPr>
            </w:pPr>
            <w:r>
              <w:rPr>
                <w:rFonts w:hint="eastAsia" w:ascii="仿宋" w:hAnsi="仿宋" w:eastAsia="仿宋"/>
                <w:sz w:val="24"/>
                <w:szCs w:val="28"/>
              </w:rPr>
              <w:t>人力资源社会保障行政部门通过12333或者其他服务电话、传真、信函、网络、现场等渠道接收举报事项。依据《社会保险基金监督行政执法案源登记表》进行登记。</w:t>
            </w:r>
          </w:p>
        </w:tc>
      </w:tr>
      <w:tr w14:paraId="3CAC129E">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052EA39">
            <w:pPr>
              <w:pStyle w:val="21"/>
              <w:rPr>
                <w:rFonts w:ascii="仿宋" w:hAnsi="仿宋" w:eastAsia="仿宋"/>
                <w:sz w:val="24"/>
                <w:szCs w:val="28"/>
              </w:rPr>
            </w:pPr>
            <w:r>
              <w:rPr>
                <w:rFonts w:hint="eastAsia" w:ascii="仿宋" w:hAnsi="仿宋" w:eastAsia="仿宋"/>
                <w:sz w:val="24"/>
                <w:szCs w:val="28"/>
              </w:rPr>
              <w:t>2</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5D77DDED">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14:paraId="6D9FECC2">
            <w:pPr>
              <w:pStyle w:val="21"/>
              <w:ind w:firstLine="0" w:firstLineChars="0"/>
              <w:rPr>
                <w:rFonts w:ascii="仿宋" w:hAnsi="仿宋" w:eastAsia="仿宋"/>
                <w:sz w:val="24"/>
                <w:szCs w:val="28"/>
              </w:rPr>
            </w:pPr>
            <w:r>
              <w:rPr>
                <w:rFonts w:hint="eastAsia" w:ascii="仿宋" w:hAnsi="仿宋" w:eastAsia="仿宋"/>
                <w:sz w:val="24"/>
                <w:szCs w:val="28"/>
              </w:rPr>
              <w:t>举报核实</w:t>
            </w:r>
          </w:p>
        </w:tc>
        <w:tc>
          <w:tcPr>
            <w:tcW w:w="4604" w:type="dxa"/>
            <w:tcBorders>
              <w:top w:val="nil"/>
              <w:left w:val="nil"/>
              <w:bottom w:val="single" w:color="auto" w:sz="4" w:space="0"/>
              <w:right w:val="single" w:color="auto" w:sz="4" w:space="0"/>
            </w:tcBorders>
            <w:shd w:val="clear" w:color="auto" w:fill="auto"/>
            <w:vAlign w:val="center"/>
          </w:tcPr>
          <w:p w14:paraId="50B7800D">
            <w:pPr>
              <w:pStyle w:val="21"/>
              <w:ind w:firstLine="0" w:firstLineChars="0"/>
              <w:rPr>
                <w:rFonts w:ascii="仿宋" w:hAnsi="仿宋" w:eastAsia="仿宋"/>
                <w:sz w:val="24"/>
                <w:szCs w:val="28"/>
              </w:rPr>
            </w:pPr>
            <w:r>
              <w:rPr>
                <w:rFonts w:hint="eastAsia" w:ascii="仿宋" w:hAnsi="仿宋" w:eastAsia="仿宋"/>
                <w:sz w:val="24"/>
                <w:szCs w:val="28"/>
              </w:rPr>
              <w:t>基金监管部门依据相关部门提供的《社会保险基金监督行政执法立案审批表》、《社会保险基金监督行政执法通知书》、《送达回证》、《承诺书》、《社会保险基金监督行政执法询问笔录》等信息核实案件情况，对社会保险基金举报案件进行报批，收集多方佐证材料核实并审核案件，将信息维护进入系统。</w:t>
            </w:r>
          </w:p>
        </w:tc>
      </w:tr>
      <w:tr w14:paraId="499E5AC8">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37B89A03">
            <w:pPr>
              <w:pStyle w:val="21"/>
              <w:rPr>
                <w:rFonts w:ascii="仿宋" w:hAnsi="仿宋" w:eastAsia="仿宋"/>
                <w:sz w:val="24"/>
                <w:szCs w:val="28"/>
              </w:rPr>
            </w:pPr>
            <w:r>
              <w:rPr>
                <w:rFonts w:hint="eastAsia" w:ascii="仿宋" w:hAnsi="仿宋" w:eastAsia="仿宋"/>
                <w:sz w:val="24"/>
                <w:szCs w:val="28"/>
              </w:rPr>
              <w:t>3</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5890C968">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14:paraId="0BDC1B3A">
            <w:pPr>
              <w:pStyle w:val="21"/>
              <w:ind w:firstLine="0" w:firstLineChars="0"/>
              <w:rPr>
                <w:rFonts w:ascii="仿宋" w:hAnsi="仿宋" w:eastAsia="仿宋"/>
                <w:sz w:val="24"/>
                <w:szCs w:val="28"/>
              </w:rPr>
            </w:pPr>
            <w:r>
              <w:rPr>
                <w:rFonts w:hint="eastAsia" w:ascii="仿宋" w:hAnsi="仿宋" w:eastAsia="仿宋"/>
                <w:sz w:val="24"/>
                <w:szCs w:val="28"/>
              </w:rPr>
              <w:t>举报结案</w:t>
            </w:r>
          </w:p>
        </w:tc>
        <w:tc>
          <w:tcPr>
            <w:tcW w:w="4604" w:type="dxa"/>
            <w:tcBorders>
              <w:top w:val="nil"/>
              <w:left w:val="nil"/>
              <w:bottom w:val="single" w:color="auto" w:sz="4" w:space="0"/>
              <w:right w:val="single" w:color="auto" w:sz="4" w:space="0"/>
            </w:tcBorders>
            <w:shd w:val="clear" w:color="auto" w:fill="auto"/>
            <w:vAlign w:val="center"/>
          </w:tcPr>
          <w:p w14:paraId="04689A74">
            <w:pPr>
              <w:pStyle w:val="21"/>
              <w:ind w:firstLine="0" w:firstLineChars="0"/>
              <w:rPr>
                <w:rFonts w:ascii="仿宋" w:hAnsi="仿宋" w:eastAsia="仿宋"/>
                <w:sz w:val="24"/>
                <w:szCs w:val="28"/>
              </w:rPr>
            </w:pPr>
            <w:r>
              <w:rPr>
                <w:rFonts w:hint="eastAsia" w:ascii="仿宋" w:hAnsi="仿宋" w:eastAsia="仿宋"/>
                <w:sz w:val="24"/>
                <w:szCs w:val="28"/>
              </w:rPr>
              <w:t>基金监管人员依据相关部门提供的《社会保险基金监督行政执法结案审批表》信息，进行社会保险基金举报案件结案登记。</w:t>
            </w:r>
          </w:p>
        </w:tc>
      </w:tr>
      <w:tr w14:paraId="1EF1DDDE">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26246B8">
            <w:pPr>
              <w:pStyle w:val="21"/>
              <w:rPr>
                <w:rFonts w:ascii="仿宋" w:hAnsi="仿宋" w:eastAsia="仿宋"/>
                <w:sz w:val="24"/>
                <w:szCs w:val="28"/>
              </w:rPr>
            </w:pPr>
            <w:r>
              <w:rPr>
                <w:rFonts w:hint="eastAsia" w:ascii="仿宋" w:hAnsi="仿宋" w:eastAsia="仿宋"/>
                <w:sz w:val="24"/>
                <w:szCs w:val="28"/>
              </w:rPr>
              <w:t>4</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7B22EF6B">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14:paraId="063CA638">
            <w:pPr>
              <w:pStyle w:val="21"/>
              <w:ind w:firstLine="0" w:firstLineChars="0"/>
              <w:rPr>
                <w:rFonts w:ascii="仿宋" w:hAnsi="仿宋" w:eastAsia="仿宋"/>
                <w:sz w:val="24"/>
                <w:szCs w:val="28"/>
              </w:rPr>
            </w:pPr>
            <w:r>
              <w:rPr>
                <w:rFonts w:hint="eastAsia" w:ascii="仿宋" w:hAnsi="仿宋" w:eastAsia="仿宋"/>
                <w:sz w:val="24"/>
                <w:szCs w:val="28"/>
              </w:rPr>
              <w:t>举报查询</w:t>
            </w:r>
          </w:p>
        </w:tc>
        <w:tc>
          <w:tcPr>
            <w:tcW w:w="4604" w:type="dxa"/>
            <w:tcBorders>
              <w:top w:val="nil"/>
              <w:left w:val="nil"/>
              <w:bottom w:val="single" w:color="auto" w:sz="4" w:space="0"/>
              <w:right w:val="single" w:color="auto" w:sz="4" w:space="0"/>
            </w:tcBorders>
            <w:shd w:val="clear" w:color="auto" w:fill="auto"/>
            <w:vAlign w:val="center"/>
          </w:tcPr>
          <w:p w14:paraId="46A42707">
            <w:pPr>
              <w:pStyle w:val="21"/>
              <w:ind w:firstLine="0" w:firstLineChars="0"/>
              <w:rPr>
                <w:rFonts w:ascii="仿宋" w:hAnsi="仿宋" w:eastAsia="仿宋"/>
                <w:sz w:val="24"/>
                <w:szCs w:val="28"/>
              </w:rPr>
            </w:pPr>
            <w:r>
              <w:rPr>
                <w:rFonts w:hint="eastAsia" w:ascii="仿宋" w:hAnsi="仿宋" w:eastAsia="仿宋"/>
                <w:sz w:val="24"/>
                <w:szCs w:val="28"/>
              </w:rPr>
              <w:t>通过对年度、行政区划、举报时间、险种类别、举报来源等多维度进行筛选、查看。</w:t>
            </w:r>
          </w:p>
        </w:tc>
      </w:tr>
      <w:tr w14:paraId="25F0E85A">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3D26FECD">
            <w:pPr>
              <w:pStyle w:val="21"/>
              <w:rPr>
                <w:rFonts w:ascii="仿宋" w:hAnsi="仿宋" w:eastAsia="仿宋"/>
                <w:sz w:val="24"/>
                <w:szCs w:val="28"/>
              </w:rPr>
            </w:pPr>
            <w:r>
              <w:rPr>
                <w:rFonts w:hint="eastAsia" w:ascii="仿宋" w:hAnsi="仿宋" w:eastAsia="仿宋"/>
                <w:sz w:val="24"/>
                <w:szCs w:val="28"/>
              </w:rPr>
              <w:t>5</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189A3992">
            <w:pPr>
              <w:pStyle w:val="21"/>
              <w:ind w:firstLine="0" w:firstLineChars="0"/>
              <w:rPr>
                <w:rFonts w:ascii="仿宋" w:hAnsi="仿宋" w:eastAsia="仿宋"/>
                <w:sz w:val="24"/>
                <w:szCs w:val="28"/>
              </w:rPr>
            </w:pPr>
            <w:r>
              <w:rPr>
                <w:rFonts w:hint="eastAsia" w:ascii="仿宋" w:hAnsi="仿宋" w:eastAsia="仿宋"/>
                <w:sz w:val="24"/>
                <w:szCs w:val="28"/>
              </w:rPr>
              <w:t>举报奖励</w:t>
            </w:r>
          </w:p>
        </w:tc>
        <w:tc>
          <w:tcPr>
            <w:tcW w:w="1760" w:type="dxa"/>
            <w:tcBorders>
              <w:top w:val="nil"/>
              <w:left w:val="nil"/>
              <w:bottom w:val="single" w:color="auto" w:sz="4" w:space="0"/>
              <w:right w:val="single" w:color="auto" w:sz="4" w:space="0"/>
            </w:tcBorders>
            <w:shd w:val="clear" w:color="auto" w:fill="auto"/>
            <w:vAlign w:val="center"/>
          </w:tcPr>
          <w:p w14:paraId="765DE549">
            <w:pPr>
              <w:pStyle w:val="21"/>
              <w:ind w:firstLine="0" w:firstLineChars="0"/>
              <w:rPr>
                <w:rFonts w:ascii="仿宋" w:hAnsi="仿宋" w:eastAsia="仿宋"/>
                <w:sz w:val="24"/>
                <w:szCs w:val="28"/>
              </w:rPr>
            </w:pPr>
            <w:r>
              <w:rPr>
                <w:rFonts w:hint="eastAsia" w:ascii="仿宋" w:hAnsi="仿宋" w:eastAsia="仿宋"/>
                <w:sz w:val="24"/>
                <w:szCs w:val="28"/>
              </w:rPr>
              <w:t>奖励申请</w:t>
            </w:r>
          </w:p>
        </w:tc>
        <w:tc>
          <w:tcPr>
            <w:tcW w:w="4604" w:type="dxa"/>
            <w:tcBorders>
              <w:top w:val="nil"/>
              <w:left w:val="nil"/>
              <w:bottom w:val="single" w:color="auto" w:sz="4" w:space="0"/>
              <w:right w:val="single" w:color="auto" w:sz="4" w:space="0"/>
            </w:tcBorders>
            <w:shd w:val="clear" w:color="auto" w:fill="auto"/>
            <w:vAlign w:val="center"/>
          </w:tcPr>
          <w:p w14:paraId="467079C7">
            <w:pPr>
              <w:pStyle w:val="21"/>
              <w:ind w:firstLine="0" w:firstLineChars="0"/>
              <w:rPr>
                <w:rFonts w:ascii="仿宋" w:hAnsi="仿宋" w:eastAsia="仿宋"/>
                <w:sz w:val="24"/>
                <w:szCs w:val="28"/>
              </w:rPr>
            </w:pPr>
            <w:r>
              <w:rPr>
                <w:rFonts w:hint="eastAsia" w:ascii="仿宋" w:hAnsi="仿宋" w:eastAsia="仿宋"/>
                <w:sz w:val="24"/>
                <w:szCs w:val="28"/>
              </w:rPr>
              <w:t>社会保险基金监管工作机构在举报事项办结时，对于符合实施办法规定奖励条件的举报事项，填写《贵州省社会保险基金监督举报奖励申请表》，提出奖励金额的建议，并附举报受理记录、举报信函或记录复印件、行政处罚决定书或者司法机关处理证明等相关材料发起奖励申请。</w:t>
            </w:r>
          </w:p>
        </w:tc>
      </w:tr>
      <w:tr w14:paraId="467F52F3">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77440EC0">
            <w:pPr>
              <w:pStyle w:val="21"/>
              <w:rPr>
                <w:rFonts w:ascii="仿宋" w:hAnsi="仿宋" w:eastAsia="仿宋"/>
                <w:sz w:val="24"/>
                <w:szCs w:val="28"/>
              </w:rPr>
            </w:pPr>
            <w:r>
              <w:rPr>
                <w:rFonts w:hint="eastAsia" w:ascii="仿宋" w:hAnsi="仿宋" w:eastAsia="仿宋"/>
                <w:sz w:val="24"/>
                <w:szCs w:val="28"/>
              </w:rPr>
              <w:t>6</w:t>
            </w:r>
          </w:p>
        </w:tc>
        <w:tc>
          <w:tcPr>
            <w:tcW w:w="1220" w:type="dxa"/>
            <w:vMerge w:val="continue"/>
            <w:tcBorders>
              <w:top w:val="nil"/>
              <w:left w:val="single" w:color="auto" w:sz="4" w:space="0"/>
              <w:bottom w:val="single" w:color="auto" w:sz="4" w:space="0"/>
              <w:right w:val="single" w:color="auto" w:sz="4" w:space="0"/>
            </w:tcBorders>
            <w:vAlign w:val="center"/>
          </w:tcPr>
          <w:p w14:paraId="054B58C9">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14:paraId="1ECD1A22">
            <w:pPr>
              <w:pStyle w:val="21"/>
              <w:ind w:firstLine="0" w:firstLineChars="0"/>
              <w:rPr>
                <w:rFonts w:ascii="仿宋" w:hAnsi="仿宋" w:eastAsia="仿宋"/>
                <w:sz w:val="24"/>
                <w:szCs w:val="28"/>
              </w:rPr>
            </w:pPr>
            <w:r>
              <w:rPr>
                <w:rFonts w:hint="eastAsia" w:ascii="仿宋" w:hAnsi="仿宋" w:eastAsia="仿宋"/>
                <w:sz w:val="24"/>
                <w:szCs w:val="28"/>
              </w:rPr>
              <w:t>奖励审批</w:t>
            </w:r>
          </w:p>
        </w:tc>
        <w:tc>
          <w:tcPr>
            <w:tcW w:w="4604" w:type="dxa"/>
            <w:tcBorders>
              <w:top w:val="nil"/>
              <w:left w:val="nil"/>
              <w:bottom w:val="single" w:color="auto" w:sz="4" w:space="0"/>
              <w:right w:val="single" w:color="auto" w:sz="4" w:space="0"/>
            </w:tcBorders>
            <w:shd w:val="clear" w:color="auto" w:fill="auto"/>
            <w:vAlign w:val="center"/>
          </w:tcPr>
          <w:p w14:paraId="09B64240">
            <w:pPr>
              <w:pStyle w:val="21"/>
              <w:ind w:firstLine="0" w:firstLineChars="0"/>
              <w:rPr>
                <w:rFonts w:ascii="仿宋" w:hAnsi="仿宋" w:eastAsia="仿宋"/>
                <w:sz w:val="24"/>
                <w:szCs w:val="28"/>
              </w:rPr>
            </w:pPr>
            <w:r>
              <w:rPr>
                <w:rFonts w:hint="eastAsia" w:ascii="仿宋" w:hAnsi="仿宋" w:eastAsia="仿宋"/>
                <w:sz w:val="24"/>
                <w:szCs w:val="28"/>
              </w:rPr>
              <w:t>《贵州省社会保险基金监督举报奖励申请表》相关佐证材料与信息经社会保险基金监管工作机构和财务工作机构负责人初审后，报送同级人力资源社会保障行政部门分管社会保险基金监管和财务工作的负责人进行审核确认。根据实际情况对发起的奖励申请进行审核通过、审核退回。</w:t>
            </w:r>
          </w:p>
        </w:tc>
      </w:tr>
      <w:tr w14:paraId="2B37C680">
        <w:tblPrEx>
          <w:tblCellMar>
            <w:top w:w="0" w:type="dxa"/>
            <w:left w:w="108" w:type="dxa"/>
            <w:bottom w:w="0" w:type="dxa"/>
            <w:right w:w="108" w:type="dxa"/>
          </w:tblCellMar>
        </w:tblPrEx>
        <w:trPr>
          <w:trHeight w:val="703"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D751C01">
            <w:pPr>
              <w:pStyle w:val="21"/>
              <w:rPr>
                <w:rFonts w:ascii="仿宋" w:hAnsi="仿宋" w:eastAsia="仿宋"/>
                <w:sz w:val="24"/>
                <w:szCs w:val="28"/>
              </w:rPr>
            </w:pPr>
            <w:r>
              <w:rPr>
                <w:rFonts w:hint="eastAsia" w:ascii="仿宋" w:hAnsi="仿宋" w:eastAsia="仿宋"/>
                <w:sz w:val="24"/>
                <w:szCs w:val="28"/>
              </w:rPr>
              <w:t>7</w:t>
            </w:r>
          </w:p>
        </w:tc>
        <w:tc>
          <w:tcPr>
            <w:tcW w:w="1220" w:type="dxa"/>
            <w:vMerge w:val="continue"/>
            <w:tcBorders>
              <w:top w:val="nil"/>
              <w:left w:val="single" w:color="auto" w:sz="4" w:space="0"/>
              <w:bottom w:val="single" w:color="auto" w:sz="4" w:space="0"/>
              <w:right w:val="single" w:color="auto" w:sz="4" w:space="0"/>
            </w:tcBorders>
            <w:vAlign w:val="center"/>
          </w:tcPr>
          <w:p w14:paraId="76886B42">
            <w:pPr>
              <w:pStyle w:val="21"/>
              <w:rPr>
                <w:rFonts w:ascii="仿宋" w:hAnsi="仿宋" w:eastAsia="仿宋"/>
                <w:sz w:val="24"/>
                <w:szCs w:val="28"/>
              </w:rPr>
            </w:pPr>
          </w:p>
        </w:tc>
        <w:tc>
          <w:tcPr>
            <w:tcW w:w="1760" w:type="dxa"/>
            <w:tcBorders>
              <w:top w:val="nil"/>
              <w:left w:val="nil"/>
              <w:bottom w:val="single" w:color="auto" w:sz="4" w:space="0"/>
              <w:right w:val="single" w:color="auto" w:sz="4" w:space="0"/>
            </w:tcBorders>
            <w:shd w:val="clear" w:color="auto" w:fill="auto"/>
            <w:vAlign w:val="center"/>
          </w:tcPr>
          <w:p w14:paraId="6EE1D0F4">
            <w:pPr>
              <w:pStyle w:val="21"/>
              <w:ind w:firstLine="0" w:firstLineChars="0"/>
              <w:rPr>
                <w:rFonts w:ascii="仿宋" w:hAnsi="仿宋" w:eastAsia="仿宋"/>
                <w:sz w:val="24"/>
                <w:szCs w:val="28"/>
              </w:rPr>
            </w:pPr>
            <w:r>
              <w:rPr>
                <w:rFonts w:hint="eastAsia" w:ascii="仿宋" w:hAnsi="仿宋" w:eastAsia="仿宋"/>
                <w:sz w:val="24"/>
                <w:szCs w:val="28"/>
              </w:rPr>
              <w:t>奖励发放</w:t>
            </w:r>
          </w:p>
        </w:tc>
        <w:tc>
          <w:tcPr>
            <w:tcW w:w="4604" w:type="dxa"/>
            <w:tcBorders>
              <w:top w:val="nil"/>
              <w:left w:val="nil"/>
              <w:bottom w:val="single" w:color="auto" w:sz="4" w:space="0"/>
              <w:right w:val="single" w:color="auto" w:sz="4" w:space="0"/>
            </w:tcBorders>
            <w:shd w:val="clear" w:color="auto" w:fill="auto"/>
            <w:vAlign w:val="center"/>
          </w:tcPr>
          <w:p w14:paraId="3CC156BB">
            <w:pPr>
              <w:pStyle w:val="21"/>
              <w:ind w:firstLine="0" w:firstLineChars="0"/>
              <w:rPr>
                <w:rFonts w:ascii="仿宋" w:hAnsi="仿宋" w:eastAsia="仿宋"/>
                <w:sz w:val="24"/>
                <w:szCs w:val="28"/>
              </w:rPr>
            </w:pPr>
            <w:r>
              <w:rPr>
                <w:rFonts w:hint="eastAsia" w:ascii="仿宋" w:hAnsi="仿宋" w:eastAsia="仿宋"/>
                <w:sz w:val="24"/>
                <w:szCs w:val="28"/>
              </w:rPr>
              <w:t>对于符合本实施办法规定奖励条件的举报事项，按照发放程序办理举报奖励。</w:t>
            </w:r>
          </w:p>
        </w:tc>
      </w:tr>
      <w:tr w14:paraId="6F0EC365">
        <w:tblPrEx>
          <w:tblCellMar>
            <w:top w:w="0" w:type="dxa"/>
            <w:left w:w="108" w:type="dxa"/>
            <w:bottom w:w="0" w:type="dxa"/>
            <w:right w:w="108" w:type="dxa"/>
          </w:tblCellMar>
        </w:tblPrEx>
        <w:trPr>
          <w:trHeight w:val="70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1531D05">
            <w:pPr>
              <w:pStyle w:val="21"/>
              <w:rPr>
                <w:rFonts w:ascii="仿宋" w:hAnsi="仿宋" w:eastAsia="仿宋"/>
                <w:sz w:val="24"/>
                <w:szCs w:val="28"/>
              </w:rPr>
            </w:pPr>
            <w:r>
              <w:rPr>
                <w:rFonts w:hint="eastAsia" w:ascii="仿宋" w:hAnsi="仿宋" w:eastAsia="仿宋"/>
                <w:sz w:val="24"/>
                <w:szCs w:val="28"/>
              </w:rPr>
              <w:t>8</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286169E1">
            <w:pPr>
              <w:pStyle w:val="21"/>
              <w:rPr>
                <w:rFonts w:ascii="仿宋" w:hAnsi="仿宋" w:eastAsia="仿宋"/>
                <w:sz w:val="24"/>
                <w:szCs w:val="28"/>
              </w:rPr>
            </w:pPr>
          </w:p>
        </w:tc>
        <w:tc>
          <w:tcPr>
            <w:tcW w:w="1760" w:type="dxa"/>
            <w:tcBorders>
              <w:top w:val="single" w:color="auto" w:sz="4" w:space="0"/>
              <w:left w:val="nil"/>
              <w:bottom w:val="single" w:color="auto" w:sz="4" w:space="0"/>
              <w:right w:val="single" w:color="auto" w:sz="4" w:space="0"/>
            </w:tcBorders>
            <w:shd w:val="clear" w:color="auto" w:fill="auto"/>
            <w:vAlign w:val="center"/>
          </w:tcPr>
          <w:p w14:paraId="1C31D839">
            <w:pPr>
              <w:pStyle w:val="21"/>
              <w:ind w:firstLine="0" w:firstLineChars="0"/>
              <w:rPr>
                <w:rFonts w:ascii="仿宋" w:hAnsi="仿宋" w:eastAsia="仿宋"/>
                <w:sz w:val="24"/>
                <w:szCs w:val="28"/>
              </w:rPr>
            </w:pPr>
            <w:r>
              <w:rPr>
                <w:rFonts w:hint="eastAsia" w:ascii="仿宋" w:hAnsi="仿宋" w:eastAsia="仿宋"/>
                <w:sz w:val="24"/>
                <w:szCs w:val="28"/>
              </w:rPr>
              <w:t>奖励查询</w:t>
            </w:r>
          </w:p>
        </w:tc>
        <w:tc>
          <w:tcPr>
            <w:tcW w:w="4604" w:type="dxa"/>
            <w:tcBorders>
              <w:top w:val="single" w:color="auto" w:sz="4" w:space="0"/>
              <w:left w:val="nil"/>
              <w:bottom w:val="single" w:color="auto" w:sz="4" w:space="0"/>
              <w:right w:val="single" w:color="auto" w:sz="4" w:space="0"/>
            </w:tcBorders>
            <w:shd w:val="clear" w:color="auto" w:fill="auto"/>
            <w:vAlign w:val="center"/>
          </w:tcPr>
          <w:p w14:paraId="7B4AF913">
            <w:pPr>
              <w:pStyle w:val="21"/>
              <w:ind w:firstLine="0" w:firstLineChars="0"/>
              <w:rPr>
                <w:rFonts w:ascii="仿宋" w:hAnsi="仿宋" w:eastAsia="仿宋"/>
                <w:sz w:val="24"/>
                <w:szCs w:val="28"/>
              </w:rPr>
            </w:pPr>
            <w:r>
              <w:rPr>
                <w:rFonts w:hint="eastAsia" w:ascii="仿宋" w:hAnsi="仿宋" w:eastAsia="仿宋"/>
                <w:sz w:val="24"/>
                <w:szCs w:val="28"/>
              </w:rPr>
              <w:t>通过对行政区划、举报奖励时间、险种类别、奖励发放时间等维度条件进行筛选查询。</w:t>
            </w:r>
          </w:p>
        </w:tc>
      </w:tr>
      <w:tr w14:paraId="042E2088">
        <w:tblPrEx>
          <w:tblCellMar>
            <w:top w:w="0" w:type="dxa"/>
            <w:left w:w="108" w:type="dxa"/>
            <w:bottom w:w="0" w:type="dxa"/>
            <w:right w:w="108" w:type="dxa"/>
          </w:tblCellMar>
        </w:tblPrEx>
        <w:trPr>
          <w:trHeight w:val="70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81585C7">
            <w:pPr>
              <w:pStyle w:val="21"/>
              <w:rPr>
                <w:rFonts w:ascii="仿宋" w:hAnsi="仿宋" w:eastAsia="仿宋"/>
                <w:sz w:val="24"/>
                <w:szCs w:val="28"/>
              </w:rPr>
            </w:pPr>
            <w:r>
              <w:rPr>
                <w:rFonts w:hint="eastAsia" w:ascii="仿宋" w:hAnsi="仿宋" w:eastAsia="仿宋"/>
                <w:sz w:val="24"/>
                <w:szCs w:val="28"/>
              </w:rPr>
              <w:t>9</w:t>
            </w:r>
          </w:p>
        </w:tc>
        <w:tc>
          <w:tcPr>
            <w:tcW w:w="1220" w:type="dxa"/>
            <w:tcBorders>
              <w:top w:val="single" w:color="auto" w:sz="4" w:space="0"/>
              <w:left w:val="single" w:color="auto" w:sz="4" w:space="0"/>
              <w:bottom w:val="single" w:color="auto" w:sz="4" w:space="0"/>
              <w:right w:val="single" w:color="auto" w:sz="4" w:space="0"/>
            </w:tcBorders>
            <w:vAlign w:val="center"/>
          </w:tcPr>
          <w:p w14:paraId="669C5A39">
            <w:pPr>
              <w:pStyle w:val="21"/>
              <w:ind w:firstLine="0" w:firstLineChars="0"/>
              <w:rPr>
                <w:rFonts w:ascii="仿宋" w:hAnsi="仿宋" w:eastAsia="仿宋"/>
                <w:sz w:val="24"/>
                <w:szCs w:val="28"/>
              </w:rPr>
            </w:pPr>
            <w:r>
              <w:rPr>
                <w:rFonts w:ascii="仿宋" w:hAnsi="仿宋" w:eastAsia="仿宋"/>
                <w:sz w:val="24"/>
                <w:szCs w:val="28"/>
              </w:rPr>
              <w:t>举报信息共享</w:t>
            </w:r>
          </w:p>
        </w:tc>
        <w:tc>
          <w:tcPr>
            <w:tcW w:w="1760" w:type="dxa"/>
            <w:tcBorders>
              <w:top w:val="single" w:color="auto" w:sz="4" w:space="0"/>
              <w:left w:val="nil"/>
              <w:bottom w:val="single" w:color="auto" w:sz="4" w:space="0"/>
              <w:right w:val="single" w:color="auto" w:sz="4" w:space="0"/>
            </w:tcBorders>
            <w:shd w:val="clear" w:color="auto" w:fill="auto"/>
            <w:vAlign w:val="center"/>
          </w:tcPr>
          <w:p w14:paraId="0C8744B2">
            <w:pPr>
              <w:pStyle w:val="21"/>
              <w:ind w:firstLine="0" w:firstLineChars="0"/>
              <w:rPr>
                <w:rFonts w:ascii="仿宋" w:hAnsi="仿宋" w:eastAsia="仿宋"/>
                <w:sz w:val="24"/>
                <w:szCs w:val="28"/>
              </w:rPr>
            </w:pPr>
            <w:r>
              <w:rPr>
                <w:rFonts w:hint="eastAsia" w:ascii="仿宋" w:hAnsi="仿宋" w:eastAsia="仿宋"/>
                <w:sz w:val="24"/>
                <w:szCs w:val="28"/>
              </w:rPr>
              <w:t>举报信息共享</w:t>
            </w:r>
          </w:p>
        </w:tc>
        <w:tc>
          <w:tcPr>
            <w:tcW w:w="4604" w:type="dxa"/>
            <w:tcBorders>
              <w:top w:val="single" w:color="auto" w:sz="4" w:space="0"/>
              <w:left w:val="nil"/>
              <w:bottom w:val="single" w:color="auto" w:sz="4" w:space="0"/>
              <w:right w:val="single" w:color="auto" w:sz="4" w:space="0"/>
            </w:tcBorders>
            <w:shd w:val="clear" w:color="auto" w:fill="auto"/>
            <w:vAlign w:val="center"/>
          </w:tcPr>
          <w:p w14:paraId="3753227D">
            <w:pPr>
              <w:pStyle w:val="21"/>
              <w:ind w:firstLine="0" w:firstLineChars="0"/>
              <w:rPr>
                <w:rFonts w:ascii="仿宋" w:hAnsi="仿宋" w:eastAsia="仿宋"/>
                <w:sz w:val="24"/>
                <w:szCs w:val="28"/>
              </w:rPr>
            </w:pPr>
            <w:r>
              <w:rPr>
                <w:rFonts w:hint="eastAsia" w:ascii="仿宋" w:hAnsi="仿宋" w:eastAsia="仿宋"/>
                <w:sz w:val="24"/>
                <w:szCs w:val="28"/>
              </w:rPr>
              <w:t>通过接口或文件方式实现基金监管部门与业务经办部门在举报信息的数据共享。</w:t>
            </w:r>
          </w:p>
        </w:tc>
      </w:tr>
    </w:tbl>
    <w:p w14:paraId="3148CA57">
      <w:pPr>
        <w:spacing w:line="360" w:lineRule="auto"/>
        <w:ind w:left="0" w:leftChars="0" w:firstLine="640" w:firstLineChars="200"/>
        <w:outlineLvl w:val="3"/>
        <w:rPr>
          <w:rFonts w:ascii="仿宋" w:hAnsi="仿宋" w:eastAsia="仿宋"/>
          <w:sz w:val="32"/>
          <w:szCs w:val="32"/>
        </w:rPr>
      </w:pPr>
      <w:bookmarkStart w:id="5" w:name="_Toc184318812"/>
      <w:r>
        <w:rPr>
          <w:rFonts w:hint="eastAsia" w:ascii="仿宋" w:hAnsi="仿宋" w:eastAsia="仿宋"/>
          <w:sz w:val="32"/>
          <w:szCs w:val="32"/>
        </w:rPr>
        <w:t>6.风险处理</w:t>
      </w:r>
      <w:bookmarkEnd w:id="5"/>
    </w:p>
    <w:p w14:paraId="21FABA4C">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依据《社会保险基金行政监督办法》（人力资源社会保障部令第48号）要求，人力资源社会保障行政部门对监督发现的问题，采取相关处理措施。具体功能包括督办提醒、约谈、函询、通报以及处理建议。</w:t>
      </w:r>
    </w:p>
    <w:tbl>
      <w:tblPr>
        <w:tblStyle w:val="15"/>
        <w:tblW w:w="8222" w:type="dxa"/>
        <w:tblInd w:w="-5" w:type="dxa"/>
        <w:tblLayout w:type="autofit"/>
        <w:tblCellMar>
          <w:top w:w="0" w:type="dxa"/>
          <w:left w:w="108" w:type="dxa"/>
          <w:bottom w:w="0" w:type="dxa"/>
          <w:right w:w="108" w:type="dxa"/>
        </w:tblCellMar>
      </w:tblPr>
      <w:tblGrid>
        <w:gridCol w:w="1134"/>
        <w:gridCol w:w="2486"/>
        <w:gridCol w:w="4602"/>
      </w:tblGrid>
      <w:tr w14:paraId="2D636D77">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A0A93DA">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486" w:type="dxa"/>
            <w:tcBorders>
              <w:top w:val="single" w:color="auto" w:sz="4" w:space="0"/>
              <w:left w:val="nil"/>
              <w:bottom w:val="single" w:color="auto" w:sz="4" w:space="0"/>
              <w:right w:val="single" w:color="auto" w:sz="4" w:space="0"/>
            </w:tcBorders>
            <w:shd w:val="clear" w:color="auto" w:fill="auto"/>
            <w:vAlign w:val="center"/>
          </w:tcPr>
          <w:p w14:paraId="133D26BA">
            <w:pPr>
              <w:pStyle w:val="21"/>
              <w:rPr>
                <w:rFonts w:ascii="仿宋" w:hAnsi="仿宋" w:eastAsia="仿宋"/>
                <w:sz w:val="24"/>
                <w:szCs w:val="28"/>
              </w:rPr>
            </w:pPr>
            <w:r>
              <w:rPr>
                <w:rFonts w:hint="eastAsia" w:ascii="仿宋" w:hAnsi="仿宋" w:eastAsia="仿宋"/>
                <w:sz w:val="24"/>
                <w:szCs w:val="28"/>
              </w:rPr>
              <w:t>事项名称</w:t>
            </w:r>
          </w:p>
        </w:tc>
        <w:tc>
          <w:tcPr>
            <w:tcW w:w="4602" w:type="dxa"/>
            <w:tcBorders>
              <w:top w:val="single" w:color="auto" w:sz="4" w:space="0"/>
              <w:left w:val="nil"/>
              <w:bottom w:val="single" w:color="auto" w:sz="4" w:space="0"/>
              <w:right w:val="single" w:color="auto" w:sz="4" w:space="0"/>
            </w:tcBorders>
            <w:shd w:val="clear" w:color="auto" w:fill="auto"/>
            <w:vAlign w:val="center"/>
          </w:tcPr>
          <w:p w14:paraId="2E68BA51">
            <w:pPr>
              <w:pStyle w:val="21"/>
              <w:rPr>
                <w:rFonts w:ascii="仿宋" w:hAnsi="仿宋" w:eastAsia="仿宋"/>
                <w:sz w:val="24"/>
                <w:szCs w:val="28"/>
              </w:rPr>
            </w:pPr>
            <w:r>
              <w:rPr>
                <w:rFonts w:hint="eastAsia" w:ascii="仿宋" w:hAnsi="仿宋" w:eastAsia="仿宋"/>
                <w:sz w:val="24"/>
                <w:szCs w:val="28"/>
              </w:rPr>
              <w:t>需求描述</w:t>
            </w:r>
          </w:p>
        </w:tc>
      </w:tr>
      <w:tr w14:paraId="2610303C">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74034C">
            <w:pPr>
              <w:pStyle w:val="21"/>
              <w:rPr>
                <w:rFonts w:ascii="仿宋" w:hAnsi="仿宋" w:eastAsia="仿宋"/>
                <w:sz w:val="24"/>
                <w:szCs w:val="28"/>
              </w:rPr>
            </w:pPr>
            <w:r>
              <w:rPr>
                <w:rFonts w:hint="eastAsia" w:ascii="仿宋" w:hAnsi="仿宋" w:eastAsia="仿宋"/>
                <w:sz w:val="24"/>
                <w:szCs w:val="28"/>
              </w:rPr>
              <w:t>1</w:t>
            </w:r>
          </w:p>
        </w:tc>
        <w:tc>
          <w:tcPr>
            <w:tcW w:w="2486" w:type="dxa"/>
            <w:tcBorders>
              <w:top w:val="single" w:color="auto" w:sz="4" w:space="0"/>
              <w:left w:val="nil"/>
              <w:bottom w:val="single" w:color="auto" w:sz="4" w:space="0"/>
              <w:right w:val="single" w:color="auto" w:sz="4" w:space="0"/>
            </w:tcBorders>
            <w:shd w:val="clear" w:color="auto" w:fill="auto"/>
            <w:vAlign w:val="center"/>
          </w:tcPr>
          <w:p w14:paraId="17EBD12C">
            <w:pPr>
              <w:pStyle w:val="21"/>
              <w:rPr>
                <w:rFonts w:ascii="仿宋" w:hAnsi="仿宋" w:eastAsia="仿宋"/>
                <w:sz w:val="24"/>
                <w:szCs w:val="28"/>
              </w:rPr>
            </w:pPr>
            <w:r>
              <w:rPr>
                <w:rFonts w:hint="eastAsia" w:ascii="仿宋" w:hAnsi="仿宋" w:eastAsia="仿宋"/>
                <w:sz w:val="24"/>
                <w:szCs w:val="28"/>
              </w:rPr>
              <w:t>督办提醒</w:t>
            </w:r>
          </w:p>
        </w:tc>
        <w:tc>
          <w:tcPr>
            <w:tcW w:w="4602" w:type="dxa"/>
            <w:tcBorders>
              <w:top w:val="single" w:color="auto" w:sz="4" w:space="0"/>
              <w:left w:val="nil"/>
              <w:bottom w:val="single" w:color="auto" w:sz="4" w:space="0"/>
              <w:right w:val="single" w:color="auto" w:sz="4" w:space="0"/>
            </w:tcBorders>
            <w:shd w:val="clear" w:color="auto" w:fill="auto"/>
            <w:vAlign w:val="center"/>
          </w:tcPr>
          <w:p w14:paraId="1E281EF7">
            <w:pPr>
              <w:pStyle w:val="21"/>
              <w:ind w:firstLine="0" w:firstLineChars="0"/>
              <w:rPr>
                <w:rFonts w:ascii="仿宋" w:hAnsi="仿宋" w:eastAsia="仿宋"/>
                <w:sz w:val="24"/>
                <w:szCs w:val="28"/>
              </w:rPr>
            </w:pPr>
            <w:r>
              <w:rPr>
                <w:rFonts w:hint="eastAsia" w:ascii="仿宋" w:hAnsi="仿宋" w:eastAsia="仿宋"/>
                <w:sz w:val="24"/>
                <w:szCs w:val="28"/>
              </w:rPr>
              <w:t>监管部门对预警办理、疑点核查、常态化检查、专项检查、稽核内控工作监督等各项业务进度的督促办理，对于未及时办理或超过时限未办理的业务进行系统督办。</w:t>
            </w:r>
          </w:p>
        </w:tc>
      </w:tr>
      <w:tr w14:paraId="502D8593">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569A9089">
            <w:pPr>
              <w:pStyle w:val="21"/>
              <w:rPr>
                <w:rFonts w:ascii="仿宋" w:hAnsi="仿宋" w:eastAsia="仿宋"/>
                <w:sz w:val="24"/>
                <w:szCs w:val="28"/>
              </w:rPr>
            </w:pPr>
            <w:r>
              <w:rPr>
                <w:rFonts w:hint="eastAsia" w:ascii="仿宋" w:hAnsi="仿宋" w:eastAsia="仿宋"/>
                <w:sz w:val="24"/>
                <w:szCs w:val="28"/>
              </w:rPr>
              <w:t>2</w:t>
            </w:r>
          </w:p>
        </w:tc>
        <w:tc>
          <w:tcPr>
            <w:tcW w:w="2486" w:type="dxa"/>
            <w:tcBorders>
              <w:top w:val="nil"/>
              <w:left w:val="nil"/>
              <w:bottom w:val="single" w:color="auto" w:sz="4" w:space="0"/>
              <w:right w:val="single" w:color="auto" w:sz="4" w:space="0"/>
            </w:tcBorders>
            <w:shd w:val="clear" w:color="auto" w:fill="auto"/>
            <w:vAlign w:val="center"/>
          </w:tcPr>
          <w:p w14:paraId="36F4EC5A">
            <w:pPr>
              <w:pStyle w:val="21"/>
              <w:rPr>
                <w:rFonts w:ascii="仿宋" w:hAnsi="仿宋" w:eastAsia="仿宋"/>
                <w:sz w:val="24"/>
                <w:szCs w:val="28"/>
              </w:rPr>
            </w:pPr>
            <w:r>
              <w:rPr>
                <w:rFonts w:hint="eastAsia" w:ascii="仿宋" w:hAnsi="仿宋" w:eastAsia="仿宋"/>
                <w:sz w:val="24"/>
                <w:szCs w:val="28"/>
              </w:rPr>
              <w:t>函询</w:t>
            </w:r>
          </w:p>
        </w:tc>
        <w:tc>
          <w:tcPr>
            <w:tcW w:w="4602" w:type="dxa"/>
            <w:tcBorders>
              <w:top w:val="nil"/>
              <w:left w:val="nil"/>
              <w:bottom w:val="single" w:color="auto" w:sz="4" w:space="0"/>
              <w:right w:val="single" w:color="auto" w:sz="4" w:space="0"/>
            </w:tcBorders>
            <w:shd w:val="clear" w:color="auto" w:fill="auto"/>
            <w:vAlign w:val="center"/>
          </w:tcPr>
          <w:p w14:paraId="58C72444">
            <w:pPr>
              <w:pStyle w:val="21"/>
              <w:ind w:firstLine="0" w:firstLineChars="0"/>
              <w:rPr>
                <w:rFonts w:ascii="仿宋" w:hAnsi="仿宋" w:eastAsia="仿宋"/>
                <w:sz w:val="24"/>
                <w:szCs w:val="28"/>
              </w:rPr>
            </w:pPr>
            <w:r>
              <w:rPr>
                <w:rFonts w:hint="eastAsia" w:ascii="仿宋" w:hAnsi="仿宋" w:eastAsia="仿宋"/>
                <w:sz w:val="24"/>
                <w:szCs w:val="28"/>
              </w:rPr>
              <w:t>对预警办理、疑点核查、常态化检查、专项检查、稽核内控工作监督等各项业务进度发出督办提醒后，仍未按时完成整改的，进行系统函询处理。</w:t>
            </w:r>
          </w:p>
        </w:tc>
      </w:tr>
      <w:tr w14:paraId="1FB5E3B4">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55EEAC06">
            <w:pPr>
              <w:pStyle w:val="21"/>
              <w:rPr>
                <w:rFonts w:ascii="仿宋" w:hAnsi="仿宋" w:eastAsia="仿宋"/>
                <w:sz w:val="24"/>
                <w:szCs w:val="28"/>
              </w:rPr>
            </w:pPr>
            <w:r>
              <w:rPr>
                <w:rFonts w:hint="eastAsia" w:ascii="仿宋" w:hAnsi="仿宋" w:eastAsia="仿宋"/>
                <w:sz w:val="24"/>
                <w:szCs w:val="28"/>
              </w:rPr>
              <w:t>3</w:t>
            </w:r>
          </w:p>
        </w:tc>
        <w:tc>
          <w:tcPr>
            <w:tcW w:w="2486" w:type="dxa"/>
            <w:tcBorders>
              <w:top w:val="nil"/>
              <w:left w:val="nil"/>
              <w:bottom w:val="single" w:color="auto" w:sz="4" w:space="0"/>
              <w:right w:val="single" w:color="auto" w:sz="4" w:space="0"/>
            </w:tcBorders>
            <w:shd w:val="clear" w:color="auto" w:fill="auto"/>
            <w:vAlign w:val="center"/>
          </w:tcPr>
          <w:p w14:paraId="390889AA">
            <w:pPr>
              <w:pStyle w:val="21"/>
              <w:rPr>
                <w:rFonts w:ascii="仿宋" w:hAnsi="仿宋" w:eastAsia="仿宋"/>
                <w:sz w:val="24"/>
                <w:szCs w:val="28"/>
              </w:rPr>
            </w:pPr>
            <w:r>
              <w:rPr>
                <w:rFonts w:hint="eastAsia" w:ascii="仿宋" w:hAnsi="仿宋" w:eastAsia="仿宋"/>
                <w:sz w:val="24"/>
                <w:szCs w:val="28"/>
              </w:rPr>
              <w:t>约谈</w:t>
            </w:r>
          </w:p>
        </w:tc>
        <w:tc>
          <w:tcPr>
            <w:tcW w:w="4602" w:type="dxa"/>
            <w:tcBorders>
              <w:top w:val="nil"/>
              <w:left w:val="nil"/>
              <w:bottom w:val="single" w:color="auto" w:sz="4" w:space="0"/>
              <w:right w:val="single" w:color="auto" w:sz="4" w:space="0"/>
            </w:tcBorders>
            <w:shd w:val="clear" w:color="auto" w:fill="auto"/>
            <w:vAlign w:val="center"/>
          </w:tcPr>
          <w:p w14:paraId="5A914502">
            <w:pPr>
              <w:pStyle w:val="21"/>
              <w:ind w:firstLine="0" w:firstLineChars="0"/>
              <w:rPr>
                <w:rFonts w:ascii="仿宋" w:hAnsi="仿宋" w:eastAsia="仿宋"/>
                <w:sz w:val="24"/>
                <w:szCs w:val="28"/>
              </w:rPr>
            </w:pPr>
            <w:r>
              <w:rPr>
                <w:rFonts w:hint="eastAsia" w:ascii="仿宋" w:hAnsi="仿宋" w:eastAsia="仿宋"/>
                <w:sz w:val="24"/>
                <w:szCs w:val="28"/>
              </w:rPr>
              <w:t>完成对预警办理、疑点核查、常态化检查、专项检查、稽核内控工作监督等各项业务进度进行函询处理后，仍整改到位的，进行约谈处理。</w:t>
            </w:r>
          </w:p>
        </w:tc>
      </w:tr>
      <w:tr w14:paraId="7C38AEF5">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5CC7E688">
            <w:pPr>
              <w:pStyle w:val="21"/>
              <w:rPr>
                <w:rFonts w:ascii="仿宋" w:hAnsi="仿宋" w:eastAsia="仿宋"/>
                <w:sz w:val="24"/>
                <w:szCs w:val="28"/>
              </w:rPr>
            </w:pPr>
            <w:r>
              <w:rPr>
                <w:rFonts w:hint="eastAsia" w:ascii="仿宋" w:hAnsi="仿宋" w:eastAsia="仿宋"/>
                <w:sz w:val="24"/>
                <w:szCs w:val="28"/>
              </w:rPr>
              <w:t>4</w:t>
            </w:r>
          </w:p>
        </w:tc>
        <w:tc>
          <w:tcPr>
            <w:tcW w:w="2486" w:type="dxa"/>
            <w:tcBorders>
              <w:top w:val="nil"/>
              <w:left w:val="nil"/>
              <w:bottom w:val="single" w:color="auto" w:sz="4" w:space="0"/>
              <w:right w:val="single" w:color="auto" w:sz="4" w:space="0"/>
            </w:tcBorders>
            <w:shd w:val="clear" w:color="auto" w:fill="auto"/>
            <w:vAlign w:val="center"/>
          </w:tcPr>
          <w:p w14:paraId="0B1B21C1">
            <w:pPr>
              <w:pStyle w:val="21"/>
              <w:rPr>
                <w:rFonts w:ascii="仿宋" w:hAnsi="仿宋" w:eastAsia="仿宋"/>
                <w:sz w:val="24"/>
                <w:szCs w:val="28"/>
              </w:rPr>
            </w:pPr>
            <w:r>
              <w:rPr>
                <w:rFonts w:hint="eastAsia" w:ascii="仿宋" w:hAnsi="仿宋" w:eastAsia="仿宋"/>
                <w:sz w:val="24"/>
                <w:szCs w:val="28"/>
              </w:rPr>
              <w:t>通报</w:t>
            </w:r>
          </w:p>
        </w:tc>
        <w:tc>
          <w:tcPr>
            <w:tcW w:w="4602" w:type="dxa"/>
            <w:tcBorders>
              <w:top w:val="nil"/>
              <w:left w:val="nil"/>
              <w:bottom w:val="single" w:color="auto" w:sz="4" w:space="0"/>
              <w:right w:val="single" w:color="auto" w:sz="4" w:space="0"/>
            </w:tcBorders>
            <w:shd w:val="clear" w:color="auto" w:fill="auto"/>
            <w:vAlign w:val="center"/>
          </w:tcPr>
          <w:p w14:paraId="563E52DF">
            <w:pPr>
              <w:pStyle w:val="21"/>
              <w:ind w:firstLine="0" w:firstLineChars="0"/>
              <w:rPr>
                <w:rFonts w:ascii="仿宋" w:hAnsi="仿宋" w:eastAsia="仿宋"/>
                <w:sz w:val="24"/>
                <w:szCs w:val="28"/>
              </w:rPr>
            </w:pPr>
            <w:r>
              <w:rPr>
                <w:rFonts w:hint="eastAsia" w:ascii="仿宋" w:hAnsi="仿宋" w:eastAsia="仿宋"/>
                <w:sz w:val="24"/>
                <w:szCs w:val="28"/>
              </w:rPr>
              <w:t>对预警办理、疑点核查、常态化检查、专项检查、稽核内控工作监督等各项业务进行约谈处理后，仍整改到位的，进行指定范围的通报处理。</w:t>
            </w:r>
          </w:p>
        </w:tc>
      </w:tr>
      <w:tr w14:paraId="3D143082">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3B17DB55">
            <w:pPr>
              <w:pStyle w:val="21"/>
              <w:rPr>
                <w:rFonts w:ascii="仿宋" w:hAnsi="仿宋" w:eastAsia="仿宋"/>
                <w:sz w:val="24"/>
                <w:szCs w:val="28"/>
              </w:rPr>
            </w:pPr>
            <w:r>
              <w:rPr>
                <w:rFonts w:hint="eastAsia" w:ascii="仿宋" w:hAnsi="仿宋" w:eastAsia="仿宋"/>
                <w:sz w:val="24"/>
                <w:szCs w:val="28"/>
              </w:rPr>
              <w:t>5</w:t>
            </w:r>
          </w:p>
        </w:tc>
        <w:tc>
          <w:tcPr>
            <w:tcW w:w="2486" w:type="dxa"/>
            <w:tcBorders>
              <w:top w:val="nil"/>
              <w:left w:val="nil"/>
              <w:bottom w:val="single" w:color="auto" w:sz="4" w:space="0"/>
              <w:right w:val="single" w:color="auto" w:sz="4" w:space="0"/>
            </w:tcBorders>
            <w:shd w:val="clear" w:color="auto" w:fill="auto"/>
            <w:vAlign w:val="center"/>
          </w:tcPr>
          <w:p w14:paraId="3DF165EE">
            <w:pPr>
              <w:pStyle w:val="21"/>
              <w:rPr>
                <w:rFonts w:ascii="仿宋" w:hAnsi="仿宋" w:eastAsia="仿宋"/>
                <w:sz w:val="24"/>
                <w:szCs w:val="28"/>
              </w:rPr>
            </w:pPr>
            <w:r>
              <w:rPr>
                <w:rFonts w:hint="eastAsia" w:ascii="仿宋" w:hAnsi="仿宋" w:eastAsia="仿宋"/>
                <w:sz w:val="24"/>
                <w:szCs w:val="28"/>
              </w:rPr>
              <w:t>处理建议</w:t>
            </w:r>
          </w:p>
        </w:tc>
        <w:tc>
          <w:tcPr>
            <w:tcW w:w="4602" w:type="dxa"/>
            <w:tcBorders>
              <w:top w:val="nil"/>
              <w:left w:val="nil"/>
              <w:bottom w:val="single" w:color="auto" w:sz="4" w:space="0"/>
              <w:right w:val="single" w:color="auto" w:sz="4" w:space="0"/>
            </w:tcBorders>
            <w:shd w:val="clear" w:color="auto" w:fill="auto"/>
            <w:vAlign w:val="center"/>
          </w:tcPr>
          <w:p w14:paraId="53543B37">
            <w:pPr>
              <w:pStyle w:val="21"/>
              <w:ind w:firstLine="0" w:firstLineChars="0"/>
              <w:rPr>
                <w:rFonts w:ascii="仿宋" w:hAnsi="仿宋" w:eastAsia="仿宋"/>
                <w:sz w:val="24"/>
                <w:szCs w:val="28"/>
              </w:rPr>
            </w:pPr>
            <w:r>
              <w:rPr>
                <w:rFonts w:hint="eastAsia" w:ascii="仿宋" w:hAnsi="仿宋" w:eastAsia="仿宋"/>
                <w:sz w:val="24"/>
                <w:szCs w:val="28"/>
              </w:rPr>
              <w:t>对预警办理、疑点核查、常态化检查、专项检查、稽核内控工作监督中发现的问题依法向有关主管机关提出处理建议。</w:t>
            </w:r>
          </w:p>
        </w:tc>
      </w:tr>
    </w:tbl>
    <w:p w14:paraId="58B19CC9">
      <w:pPr>
        <w:spacing w:line="360" w:lineRule="auto"/>
        <w:ind w:left="0" w:leftChars="0" w:firstLine="640" w:firstLineChars="200"/>
        <w:outlineLvl w:val="3"/>
        <w:rPr>
          <w:rFonts w:ascii="仿宋" w:hAnsi="仿宋" w:eastAsia="仿宋"/>
          <w:sz w:val="32"/>
          <w:szCs w:val="32"/>
        </w:rPr>
      </w:pPr>
      <w:bookmarkStart w:id="6" w:name="_Toc184318813"/>
      <w:r>
        <w:rPr>
          <w:rFonts w:hint="eastAsia" w:ascii="仿宋" w:hAnsi="仿宋" w:eastAsia="仿宋"/>
          <w:sz w:val="32"/>
          <w:szCs w:val="32"/>
        </w:rPr>
        <w:t>7.大屏展示</w:t>
      </w:r>
      <w:bookmarkEnd w:id="6"/>
    </w:p>
    <w:p w14:paraId="7DE562B9">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主要展示内容包括基金监管综合分析、社会保险基金运行情况、平台系统集成数据等展示板块，主要展示非现场</w:t>
      </w:r>
      <w:r>
        <w:rPr>
          <w:rFonts w:ascii="仿宋" w:hAnsi="仿宋" w:eastAsia="仿宋"/>
          <w:sz w:val="32"/>
          <w:szCs w:val="32"/>
        </w:rPr>
        <w:t>监督</w:t>
      </w:r>
      <w:r>
        <w:rPr>
          <w:rFonts w:hint="eastAsia" w:ascii="仿宋" w:hAnsi="仿宋" w:eastAsia="仿宋"/>
          <w:sz w:val="32"/>
          <w:szCs w:val="32"/>
        </w:rPr>
        <w:t>情况、现场检查情况、问题整改情况、违规基金追缴情况、基金运行分析情况、风险管控分析情况等，实现 “大屏观态势”。</w:t>
      </w:r>
    </w:p>
    <w:tbl>
      <w:tblPr>
        <w:tblStyle w:val="15"/>
        <w:tblW w:w="8222" w:type="dxa"/>
        <w:tblInd w:w="-5" w:type="dxa"/>
        <w:tblLayout w:type="autofit"/>
        <w:tblCellMar>
          <w:top w:w="0" w:type="dxa"/>
          <w:left w:w="108" w:type="dxa"/>
          <w:bottom w:w="0" w:type="dxa"/>
          <w:right w:w="108" w:type="dxa"/>
        </w:tblCellMar>
      </w:tblPr>
      <w:tblGrid>
        <w:gridCol w:w="1134"/>
        <w:gridCol w:w="2486"/>
        <w:gridCol w:w="4602"/>
      </w:tblGrid>
      <w:tr w14:paraId="45311E8B">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48A41D">
            <w:pPr>
              <w:pStyle w:val="21"/>
              <w:ind w:firstLine="0" w:firstLineChars="0"/>
              <w:rPr>
                <w:rFonts w:ascii="仿宋" w:hAnsi="仿宋" w:eastAsia="仿宋"/>
                <w:sz w:val="24"/>
                <w:szCs w:val="28"/>
              </w:rPr>
            </w:pPr>
            <w:r>
              <w:rPr>
                <w:rFonts w:hint="eastAsia" w:ascii="仿宋" w:hAnsi="仿宋" w:eastAsia="仿宋"/>
                <w:sz w:val="24"/>
                <w:szCs w:val="28"/>
              </w:rPr>
              <w:t>序号</w:t>
            </w:r>
          </w:p>
        </w:tc>
        <w:tc>
          <w:tcPr>
            <w:tcW w:w="2486" w:type="dxa"/>
            <w:tcBorders>
              <w:top w:val="single" w:color="auto" w:sz="4" w:space="0"/>
              <w:left w:val="nil"/>
              <w:bottom w:val="single" w:color="auto" w:sz="4" w:space="0"/>
              <w:right w:val="single" w:color="auto" w:sz="4" w:space="0"/>
            </w:tcBorders>
            <w:shd w:val="clear" w:color="auto" w:fill="auto"/>
            <w:vAlign w:val="center"/>
          </w:tcPr>
          <w:p w14:paraId="2BC62FF9">
            <w:pPr>
              <w:pStyle w:val="21"/>
              <w:rPr>
                <w:rFonts w:ascii="仿宋" w:hAnsi="仿宋" w:eastAsia="仿宋"/>
                <w:sz w:val="24"/>
                <w:szCs w:val="28"/>
              </w:rPr>
            </w:pPr>
            <w:r>
              <w:rPr>
                <w:rFonts w:hint="eastAsia" w:ascii="仿宋" w:hAnsi="仿宋" w:eastAsia="仿宋"/>
                <w:sz w:val="24"/>
                <w:szCs w:val="28"/>
              </w:rPr>
              <w:t>事项名称</w:t>
            </w:r>
          </w:p>
        </w:tc>
        <w:tc>
          <w:tcPr>
            <w:tcW w:w="4602" w:type="dxa"/>
            <w:tcBorders>
              <w:top w:val="single" w:color="auto" w:sz="4" w:space="0"/>
              <w:left w:val="nil"/>
              <w:bottom w:val="single" w:color="auto" w:sz="4" w:space="0"/>
              <w:right w:val="single" w:color="auto" w:sz="4" w:space="0"/>
            </w:tcBorders>
            <w:shd w:val="clear" w:color="auto" w:fill="auto"/>
            <w:vAlign w:val="center"/>
          </w:tcPr>
          <w:p w14:paraId="149FFB05">
            <w:pPr>
              <w:pStyle w:val="21"/>
              <w:rPr>
                <w:rFonts w:ascii="仿宋" w:hAnsi="仿宋" w:eastAsia="仿宋"/>
                <w:sz w:val="24"/>
                <w:szCs w:val="28"/>
              </w:rPr>
            </w:pPr>
            <w:r>
              <w:rPr>
                <w:rFonts w:hint="eastAsia" w:ascii="仿宋" w:hAnsi="仿宋" w:eastAsia="仿宋"/>
                <w:sz w:val="24"/>
                <w:szCs w:val="28"/>
              </w:rPr>
              <w:t>需求描述</w:t>
            </w:r>
          </w:p>
        </w:tc>
      </w:tr>
      <w:tr w14:paraId="6CD68049">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FF55AD">
            <w:pPr>
              <w:pStyle w:val="21"/>
              <w:rPr>
                <w:rFonts w:ascii="仿宋" w:hAnsi="仿宋" w:eastAsia="仿宋"/>
                <w:sz w:val="24"/>
                <w:szCs w:val="28"/>
              </w:rPr>
            </w:pPr>
            <w:r>
              <w:rPr>
                <w:rFonts w:hint="eastAsia" w:ascii="仿宋" w:hAnsi="仿宋" w:eastAsia="仿宋"/>
                <w:sz w:val="24"/>
                <w:szCs w:val="28"/>
              </w:rPr>
              <w:t>1</w:t>
            </w:r>
          </w:p>
        </w:tc>
        <w:tc>
          <w:tcPr>
            <w:tcW w:w="2486" w:type="dxa"/>
            <w:tcBorders>
              <w:top w:val="single" w:color="auto" w:sz="4" w:space="0"/>
              <w:left w:val="nil"/>
              <w:bottom w:val="single" w:color="auto" w:sz="4" w:space="0"/>
              <w:right w:val="single" w:color="auto" w:sz="4" w:space="0"/>
            </w:tcBorders>
            <w:shd w:val="clear" w:color="auto" w:fill="auto"/>
            <w:vAlign w:val="center"/>
          </w:tcPr>
          <w:p w14:paraId="3D877C3C">
            <w:pPr>
              <w:pStyle w:val="21"/>
              <w:ind w:firstLine="0" w:firstLineChars="0"/>
              <w:rPr>
                <w:rFonts w:ascii="仿宋" w:hAnsi="仿宋" w:eastAsia="仿宋"/>
                <w:sz w:val="24"/>
                <w:szCs w:val="28"/>
              </w:rPr>
            </w:pPr>
            <w:r>
              <w:rPr>
                <w:rFonts w:hint="eastAsia" w:ascii="仿宋" w:hAnsi="仿宋" w:eastAsia="仿宋"/>
                <w:sz w:val="24"/>
                <w:szCs w:val="28"/>
              </w:rPr>
              <w:t>非现场</w:t>
            </w:r>
            <w:r>
              <w:rPr>
                <w:rFonts w:ascii="仿宋" w:hAnsi="仿宋" w:eastAsia="仿宋"/>
                <w:sz w:val="24"/>
                <w:szCs w:val="28"/>
              </w:rPr>
              <w:t>监督</w:t>
            </w:r>
            <w:r>
              <w:rPr>
                <w:rFonts w:hint="eastAsia" w:ascii="仿宋" w:hAnsi="仿宋" w:eastAsia="仿宋"/>
                <w:sz w:val="24"/>
                <w:szCs w:val="28"/>
              </w:rPr>
              <w:t>情况</w:t>
            </w:r>
          </w:p>
        </w:tc>
        <w:tc>
          <w:tcPr>
            <w:tcW w:w="4602" w:type="dxa"/>
            <w:tcBorders>
              <w:top w:val="single" w:color="auto" w:sz="4" w:space="0"/>
              <w:left w:val="nil"/>
              <w:bottom w:val="single" w:color="auto" w:sz="4" w:space="0"/>
              <w:right w:val="single" w:color="auto" w:sz="4" w:space="0"/>
            </w:tcBorders>
            <w:shd w:val="clear" w:color="auto" w:fill="auto"/>
            <w:vAlign w:val="center"/>
          </w:tcPr>
          <w:p w14:paraId="41DF2B55">
            <w:pPr>
              <w:pStyle w:val="21"/>
              <w:ind w:firstLine="0" w:firstLineChars="0"/>
              <w:rPr>
                <w:rFonts w:ascii="仿宋" w:hAnsi="仿宋" w:eastAsia="仿宋"/>
                <w:sz w:val="24"/>
                <w:szCs w:val="28"/>
              </w:rPr>
            </w:pPr>
            <w:r>
              <w:rPr>
                <w:rFonts w:hint="eastAsia" w:ascii="仿宋" w:hAnsi="仿宋" w:eastAsia="仿宋"/>
                <w:sz w:val="24"/>
                <w:szCs w:val="28"/>
              </w:rPr>
              <w:t>针对非现场监督的情况，如预警/</w:t>
            </w:r>
            <w:r>
              <w:rPr>
                <w:rFonts w:ascii="仿宋" w:hAnsi="仿宋" w:eastAsia="仿宋"/>
                <w:sz w:val="24"/>
                <w:szCs w:val="28"/>
              </w:rPr>
              <w:t>疑点下发情况、预警</w:t>
            </w:r>
            <w:r>
              <w:rPr>
                <w:rFonts w:hint="eastAsia" w:ascii="仿宋" w:hAnsi="仿宋" w:eastAsia="仿宋"/>
                <w:sz w:val="24"/>
                <w:szCs w:val="28"/>
              </w:rPr>
              <w:t>/</w:t>
            </w:r>
            <w:r>
              <w:rPr>
                <w:rFonts w:ascii="仿宋" w:hAnsi="仿宋" w:eastAsia="仿宋"/>
                <w:sz w:val="24"/>
                <w:szCs w:val="28"/>
              </w:rPr>
              <w:t>疑点核实情况、预警</w:t>
            </w:r>
            <w:r>
              <w:rPr>
                <w:rFonts w:hint="eastAsia" w:ascii="仿宋" w:hAnsi="仿宋" w:eastAsia="仿宋"/>
                <w:sz w:val="24"/>
                <w:szCs w:val="28"/>
              </w:rPr>
              <w:t>/疑点应整改情况、预警/疑点已整改情况等指标进行数据展示。</w:t>
            </w:r>
          </w:p>
        </w:tc>
      </w:tr>
      <w:tr w14:paraId="5A2FD872">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2FC5A465">
            <w:pPr>
              <w:pStyle w:val="21"/>
              <w:rPr>
                <w:rFonts w:ascii="仿宋" w:hAnsi="仿宋" w:eastAsia="仿宋"/>
                <w:sz w:val="24"/>
                <w:szCs w:val="28"/>
              </w:rPr>
            </w:pPr>
            <w:r>
              <w:rPr>
                <w:rFonts w:hint="eastAsia" w:ascii="仿宋" w:hAnsi="仿宋" w:eastAsia="仿宋"/>
                <w:sz w:val="24"/>
                <w:szCs w:val="28"/>
              </w:rPr>
              <w:t>2</w:t>
            </w:r>
          </w:p>
        </w:tc>
        <w:tc>
          <w:tcPr>
            <w:tcW w:w="2486" w:type="dxa"/>
            <w:tcBorders>
              <w:top w:val="nil"/>
              <w:left w:val="nil"/>
              <w:bottom w:val="single" w:color="auto" w:sz="4" w:space="0"/>
              <w:right w:val="single" w:color="auto" w:sz="4" w:space="0"/>
            </w:tcBorders>
            <w:shd w:val="clear" w:color="auto" w:fill="auto"/>
            <w:vAlign w:val="center"/>
          </w:tcPr>
          <w:p w14:paraId="78E65E4B">
            <w:pPr>
              <w:pStyle w:val="21"/>
              <w:ind w:firstLine="0" w:firstLineChars="0"/>
              <w:rPr>
                <w:rFonts w:ascii="仿宋" w:hAnsi="仿宋" w:eastAsia="仿宋"/>
                <w:sz w:val="24"/>
                <w:szCs w:val="28"/>
              </w:rPr>
            </w:pPr>
            <w:r>
              <w:rPr>
                <w:rFonts w:hint="eastAsia" w:ascii="仿宋" w:hAnsi="仿宋" w:eastAsia="仿宋"/>
                <w:sz w:val="24"/>
                <w:szCs w:val="28"/>
              </w:rPr>
              <w:t>现场检查情况</w:t>
            </w:r>
          </w:p>
        </w:tc>
        <w:tc>
          <w:tcPr>
            <w:tcW w:w="4602" w:type="dxa"/>
            <w:tcBorders>
              <w:top w:val="nil"/>
              <w:left w:val="nil"/>
              <w:bottom w:val="single" w:color="auto" w:sz="4" w:space="0"/>
              <w:right w:val="single" w:color="auto" w:sz="4" w:space="0"/>
            </w:tcBorders>
            <w:shd w:val="clear" w:color="auto" w:fill="auto"/>
            <w:vAlign w:val="center"/>
          </w:tcPr>
          <w:p w14:paraId="0ECBB125">
            <w:pPr>
              <w:pStyle w:val="21"/>
              <w:ind w:firstLine="0" w:firstLineChars="0"/>
              <w:rPr>
                <w:rFonts w:ascii="仿宋" w:hAnsi="仿宋" w:eastAsia="仿宋"/>
                <w:sz w:val="24"/>
                <w:szCs w:val="28"/>
              </w:rPr>
            </w:pPr>
            <w:r>
              <w:rPr>
                <w:rFonts w:hint="eastAsia" w:ascii="仿宋" w:hAnsi="仿宋" w:eastAsia="仿宋"/>
                <w:sz w:val="24"/>
                <w:szCs w:val="28"/>
              </w:rPr>
              <w:t>针对专项检查、日常检查、政府审计以及第三方审计的检查情况进行数据展示、如检查次数、检查问题数量等。</w:t>
            </w:r>
          </w:p>
        </w:tc>
      </w:tr>
      <w:tr w14:paraId="665D470F">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386923E9">
            <w:pPr>
              <w:pStyle w:val="21"/>
              <w:rPr>
                <w:rFonts w:ascii="仿宋" w:hAnsi="仿宋" w:eastAsia="仿宋"/>
                <w:sz w:val="24"/>
                <w:szCs w:val="28"/>
              </w:rPr>
            </w:pPr>
            <w:r>
              <w:rPr>
                <w:rFonts w:hint="eastAsia" w:ascii="仿宋" w:hAnsi="仿宋" w:eastAsia="仿宋"/>
                <w:sz w:val="24"/>
                <w:szCs w:val="28"/>
              </w:rPr>
              <w:t>3</w:t>
            </w:r>
          </w:p>
        </w:tc>
        <w:tc>
          <w:tcPr>
            <w:tcW w:w="2486" w:type="dxa"/>
            <w:tcBorders>
              <w:top w:val="nil"/>
              <w:left w:val="nil"/>
              <w:bottom w:val="single" w:color="auto" w:sz="4" w:space="0"/>
              <w:right w:val="single" w:color="auto" w:sz="4" w:space="0"/>
            </w:tcBorders>
            <w:shd w:val="clear" w:color="auto" w:fill="auto"/>
            <w:vAlign w:val="center"/>
          </w:tcPr>
          <w:p w14:paraId="1477C2F7">
            <w:pPr>
              <w:pStyle w:val="21"/>
              <w:ind w:firstLine="0" w:firstLineChars="0"/>
              <w:rPr>
                <w:rFonts w:ascii="仿宋" w:hAnsi="仿宋" w:eastAsia="仿宋"/>
                <w:sz w:val="24"/>
                <w:szCs w:val="28"/>
              </w:rPr>
            </w:pPr>
            <w:r>
              <w:rPr>
                <w:rFonts w:hint="eastAsia" w:ascii="仿宋" w:hAnsi="仿宋" w:eastAsia="仿宋"/>
                <w:sz w:val="24"/>
                <w:szCs w:val="28"/>
              </w:rPr>
              <w:t>问题整改情况</w:t>
            </w:r>
          </w:p>
        </w:tc>
        <w:tc>
          <w:tcPr>
            <w:tcW w:w="4602" w:type="dxa"/>
            <w:tcBorders>
              <w:top w:val="nil"/>
              <w:left w:val="nil"/>
              <w:bottom w:val="single" w:color="auto" w:sz="4" w:space="0"/>
              <w:right w:val="single" w:color="auto" w:sz="4" w:space="0"/>
            </w:tcBorders>
            <w:shd w:val="clear" w:color="auto" w:fill="auto"/>
            <w:vAlign w:val="center"/>
          </w:tcPr>
          <w:p w14:paraId="7FEA49EC">
            <w:pPr>
              <w:pStyle w:val="21"/>
              <w:ind w:firstLine="0" w:firstLineChars="0"/>
              <w:rPr>
                <w:rFonts w:ascii="仿宋" w:hAnsi="仿宋" w:eastAsia="仿宋"/>
                <w:sz w:val="24"/>
                <w:szCs w:val="28"/>
              </w:rPr>
            </w:pPr>
            <w:r>
              <w:rPr>
                <w:rFonts w:hint="eastAsia" w:ascii="仿宋" w:hAnsi="仿宋" w:eastAsia="仿宋"/>
                <w:sz w:val="24"/>
                <w:szCs w:val="28"/>
              </w:rPr>
              <w:t>针对非现场监督和现场检查的问题进行整改的情况进行数据展示，如应整改问题，应整改金额、已整体问题、已整改金额等</w:t>
            </w:r>
          </w:p>
        </w:tc>
      </w:tr>
      <w:tr w14:paraId="7F8704E7">
        <w:tblPrEx>
          <w:tblCellMar>
            <w:top w:w="0" w:type="dxa"/>
            <w:left w:w="108" w:type="dxa"/>
            <w:bottom w:w="0" w:type="dxa"/>
            <w:right w:w="108" w:type="dxa"/>
          </w:tblCellMar>
        </w:tblPrEx>
        <w:trPr>
          <w:trHeight w:val="7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14:paraId="7679B344">
            <w:pPr>
              <w:pStyle w:val="21"/>
              <w:rPr>
                <w:rFonts w:ascii="仿宋" w:hAnsi="仿宋" w:eastAsia="仿宋"/>
                <w:sz w:val="24"/>
                <w:szCs w:val="28"/>
              </w:rPr>
            </w:pPr>
            <w:r>
              <w:rPr>
                <w:rFonts w:hint="eastAsia" w:ascii="仿宋" w:hAnsi="仿宋" w:eastAsia="仿宋"/>
                <w:sz w:val="24"/>
                <w:szCs w:val="28"/>
              </w:rPr>
              <w:t>4</w:t>
            </w:r>
          </w:p>
        </w:tc>
        <w:tc>
          <w:tcPr>
            <w:tcW w:w="2486" w:type="dxa"/>
            <w:tcBorders>
              <w:top w:val="nil"/>
              <w:left w:val="nil"/>
              <w:bottom w:val="single" w:color="auto" w:sz="4" w:space="0"/>
              <w:right w:val="single" w:color="auto" w:sz="4" w:space="0"/>
            </w:tcBorders>
            <w:shd w:val="clear" w:color="auto" w:fill="auto"/>
            <w:vAlign w:val="center"/>
          </w:tcPr>
          <w:p w14:paraId="4D9B61E6">
            <w:pPr>
              <w:pStyle w:val="21"/>
              <w:ind w:firstLine="0" w:firstLineChars="0"/>
              <w:rPr>
                <w:rFonts w:ascii="仿宋" w:hAnsi="仿宋" w:eastAsia="仿宋"/>
                <w:sz w:val="24"/>
                <w:szCs w:val="28"/>
              </w:rPr>
            </w:pPr>
            <w:r>
              <w:rPr>
                <w:rFonts w:hint="eastAsia" w:ascii="仿宋" w:hAnsi="仿宋" w:eastAsia="仿宋"/>
                <w:sz w:val="24"/>
                <w:szCs w:val="28"/>
              </w:rPr>
              <w:t>违规基金追缴情况</w:t>
            </w:r>
          </w:p>
        </w:tc>
        <w:tc>
          <w:tcPr>
            <w:tcW w:w="4602" w:type="dxa"/>
            <w:tcBorders>
              <w:top w:val="nil"/>
              <w:left w:val="nil"/>
              <w:bottom w:val="single" w:color="auto" w:sz="4" w:space="0"/>
              <w:right w:val="single" w:color="auto" w:sz="4" w:space="0"/>
            </w:tcBorders>
            <w:shd w:val="clear" w:color="auto" w:fill="auto"/>
            <w:vAlign w:val="center"/>
          </w:tcPr>
          <w:p w14:paraId="2223CA63">
            <w:pPr>
              <w:pStyle w:val="21"/>
              <w:ind w:firstLine="0" w:firstLineChars="0"/>
              <w:rPr>
                <w:rFonts w:ascii="仿宋" w:hAnsi="仿宋" w:eastAsia="仿宋"/>
                <w:sz w:val="24"/>
                <w:szCs w:val="28"/>
              </w:rPr>
            </w:pPr>
            <w:r>
              <w:rPr>
                <w:rFonts w:hint="eastAsia" w:ascii="仿宋" w:hAnsi="仿宋" w:eastAsia="仿宋"/>
                <w:sz w:val="24"/>
                <w:szCs w:val="28"/>
              </w:rPr>
              <w:t>针对非现场监督和现场检查存在违规基金追缴的情况进行数据展示，包括应追缴数量、应追缴金额、已追缴数量、已追缴金额等。</w:t>
            </w:r>
          </w:p>
        </w:tc>
      </w:tr>
      <w:tr w14:paraId="1CA3D577">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45C040">
            <w:pPr>
              <w:pStyle w:val="21"/>
              <w:rPr>
                <w:rFonts w:ascii="仿宋" w:hAnsi="仿宋" w:eastAsia="仿宋"/>
                <w:sz w:val="24"/>
                <w:szCs w:val="28"/>
              </w:rPr>
            </w:pPr>
            <w:r>
              <w:rPr>
                <w:rFonts w:hint="eastAsia" w:ascii="仿宋" w:hAnsi="仿宋" w:eastAsia="仿宋"/>
                <w:sz w:val="24"/>
                <w:szCs w:val="28"/>
              </w:rPr>
              <w:t>5</w:t>
            </w:r>
          </w:p>
        </w:tc>
        <w:tc>
          <w:tcPr>
            <w:tcW w:w="2486" w:type="dxa"/>
            <w:tcBorders>
              <w:top w:val="single" w:color="auto" w:sz="4" w:space="0"/>
              <w:left w:val="nil"/>
              <w:bottom w:val="single" w:color="auto" w:sz="4" w:space="0"/>
              <w:right w:val="single" w:color="auto" w:sz="4" w:space="0"/>
            </w:tcBorders>
            <w:shd w:val="clear" w:color="auto" w:fill="auto"/>
            <w:vAlign w:val="center"/>
          </w:tcPr>
          <w:p w14:paraId="53F6CB5B">
            <w:pPr>
              <w:pStyle w:val="21"/>
              <w:ind w:firstLine="0" w:firstLineChars="0"/>
              <w:rPr>
                <w:rFonts w:ascii="仿宋" w:hAnsi="仿宋" w:eastAsia="仿宋"/>
                <w:sz w:val="24"/>
                <w:szCs w:val="28"/>
              </w:rPr>
            </w:pPr>
            <w:r>
              <w:rPr>
                <w:rFonts w:hint="eastAsia" w:ascii="仿宋" w:hAnsi="仿宋" w:eastAsia="仿宋"/>
                <w:sz w:val="24"/>
                <w:szCs w:val="28"/>
              </w:rPr>
              <w:t>基金运行分析情况</w:t>
            </w:r>
          </w:p>
        </w:tc>
        <w:tc>
          <w:tcPr>
            <w:tcW w:w="4602" w:type="dxa"/>
            <w:tcBorders>
              <w:top w:val="single" w:color="auto" w:sz="4" w:space="0"/>
              <w:left w:val="nil"/>
              <w:bottom w:val="single" w:color="auto" w:sz="4" w:space="0"/>
              <w:right w:val="single" w:color="auto" w:sz="4" w:space="0"/>
            </w:tcBorders>
            <w:shd w:val="clear" w:color="auto" w:fill="auto"/>
            <w:vAlign w:val="center"/>
          </w:tcPr>
          <w:p w14:paraId="7C13DF97">
            <w:pPr>
              <w:pStyle w:val="21"/>
              <w:ind w:firstLine="0" w:firstLineChars="0"/>
              <w:rPr>
                <w:rFonts w:ascii="仿宋" w:hAnsi="仿宋" w:eastAsia="仿宋"/>
                <w:sz w:val="24"/>
                <w:szCs w:val="28"/>
              </w:rPr>
            </w:pPr>
            <w:r>
              <w:rPr>
                <w:rFonts w:hint="eastAsia" w:ascii="仿宋" w:hAnsi="仿宋" w:eastAsia="仿宋"/>
                <w:sz w:val="24"/>
                <w:szCs w:val="28"/>
              </w:rPr>
              <w:t>针对企业职工养老保险、机关事业养老保险、城乡居民养老保险、失业保险、工伤保险在征缴收入、支出、投资运营等基金要运行指标进行数据展示。</w:t>
            </w:r>
          </w:p>
        </w:tc>
      </w:tr>
      <w:tr w14:paraId="55C1017B">
        <w:tblPrEx>
          <w:tblCellMar>
            <w:top w:w="0" w:type="dxa"/>
            <w:left w:w="108" w:type="dxa"/>
            <w:bottom w:w="0" w:type="dxa"/>
            <w:right w:w="108" w:type="dxa"/>
          </w:tblCellMar>
        </w:tblPrEx>
        <w:trPr>
          <w:trHeight w:val="76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89FDEF">
            <w:pPr>
              <w:pStyle w:val="21"/>
              <w:rPr>
                <w:rFonts w:ascii="仿宋" w:hAnsi="仿宋" w:eastAsia="仿宋"/>
                <w:sz w:val="24"/>
                <w:szCs w:val="28"/>
              </w:rPr>
            </w:pPr>
            <w:r>
              <w:rPr>
                <w:rFonts w:hint="eastAsia" w:ascii="仿宋" w:hAnsi="仿宋" w:eastAsia="仿宋"/>
                <w:sz w:val="24"/>
                <w:szCs w:val="28"/>
              </w:rPr>
              <w:t>6</w:t>
            </w:r>
          </w:p>
        </w:tc>
        <w:tc>
          <w:tcPr>
            <w:tcW w:w="2486" w:type="dxa"/>
            <w:tcBorders>
              <w:top w:val="single" w:color="auto" w:sz="4" w:space="0"/>
              <w:left w:val="nil"/>
              <w:bottom w:val="single" w:color="auto" w:sz="4" w:space="0"/>
              <w:right w:val="single" w:color="auto" w:sz="4" w:space="0"/>
            </w:tcBorders>
            <w:shd w:val="clear" w:color="auto" w:fill="auto"/>
            <w:vAlign w:val="center"/>
          </w:tcPr>
          <w:p w14:paraId="1D61F518">
            <w:pPr>
              <w:pStyle w:val="21"/>
              <w:ind w:firstLine="0" w:firstLineChars="0"/>
              <w:rPr>
                <w:rFonts w:ascii="仿宋" w:hAnsi="仿宋" w:eastAsia="仿宋"/>
                <w:sz w:val="24"/>
                <w:szCs w:val="28"/>
              </w:rPr>
            </w:pPr>
            <w:r>
              <w:rPr>
                <w:rFonts w:hint="eastAsia" w:ascii="仿宋" w:hAnsi="仿宋" w:eastAsia="仿宋"/>
                <w:sz w:val="24"/>
                <w:szCs w:val="28"/>
              </w:rPr>
              <w:t>风险管控分析情况</w:t>
            </w:r>
          </w:p>
        </w:tc>
        <w:tc>
          <w:tcPr>
            <w:tcW w:w="4602" w:type="dxa"/>
            <w:tcBorders>
              <w:top w:val="single" w:color="auto" w:sz="4" w:space="0"/>
              <w:left w:val="nil"/>
              <w:bottom w:val="single" w:color="auto" w:sz="4" w:space="0"/>
              <w:right w:val="single" w:color="auto" w:sz="4" w:space="0"/>
            </w:tcBorders>
            <w:shd w:val="clear" w:color="auto" w:fill="auto"/>
            <w:vAlign w:val="center"/>
          </w:tcPr>
          <w:p w14:paraId="135E1A2D">
            <w:pPr>
              <w:pStyle w:val="21"/>
              <w:ind w:firstLine="0" w:firstLineChars="0"/>
              <w:rPr>
                <w:rFonts w:ascii="仿宋" w:hAnsi="仿宋" w:eastAsia="仿宋"/>
                <w:sz w:val="24"/>
                <w:szCs w:val="28"/>
              </w:rPr>
            </w:pPr>
            <w:r>
              <w:rPr>
                <w:rFonts w:hint="eastAsia" w:ascii="仿宋" w:hAnsi="仿宋" w:eastAsia="仿宋"/>
                <w:sz w:val="24"/>
                <w:szCs w:val="28"/>
              </w:rPr>
              <w:t>针对企业职工养老保险、机关事业养老保险、城乡居民养老保险、失业保险、工伤保险在月支撑能力、替代率等风险指标进行数据展示。</w:t>
            </w:r>
          </w:p>
        </w:tc>
      </w:tr>
    </w:tbl>
    <w:p w14:paraId="4079E3FB">
      <w:pPr>
        <w:spacing w:line="360" w:lineRule="auto"/>
        <w:ind w:left="0" w:leftChars="0" w:firstLine="640" w:firstLineChars="200"/>
        <w:outlineLvl w:val="3"/>
        <w:rPr>
          <w:rFonts w:ascii="仿宋" w:hAnsi="仿宋" w:eastAsia="仿宋"/>
          <w:sz w:val="32"/>
          <w:szCs w:val="32"/>
        </w:rPr>
      </w:pPr>
      <w:bookmarkStart w:id="7" w:name="_Toc184318814"/>
      <w:r>
        <w:rPr>
          <w:rFonts w:hint="eastAsia" w:ascii="仿宋" w:hAnsi="仿宋" w:eastAsia="仿宋"/>
          <w:sz w:val="32"/>
          <w:szCs w:val="32"/>
        </w:rPr>
        <w:t>8.综合管理</w:t>
      </w:r>
      <w:bookmarkEnd w:id="7"/>
    </w:p>
    <w:p w14:paraId="383E8564">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主要为系统提供数据对接管理</w:t>
      </w:r>
      <w:r>
        <w:rPr>
          <w:rFonts w:hint="eastAsia" w:ascii="仿宋" w:hAnsi="仿宋" w:eastAsia="仿宋"/>
          <w:sz w:val="32"/>
          <w:szCs w:val="32"/>
          <w:lang w:eastAsia="zh-CN"/>
        </w:rPr>
        <w:t>以及</w:t>
      </w:r>
      <w:r>
        <w:rPr>
          <w:rFonts w:hint="eastAsia" w:ascii="仿宋" w:hAnsi="仿宋" w:eastAsia="仿宋"/>
          <w:sz w:val="32"/>
          <w:szCs w:val="32"/>
        </w:rPr>
        <w:t>实现本系统与其他系统的对接管理，包括业务协同平台、社保业务生产库、数据共享平台等的对接，以及系统管理和规则模型管理、知识库管理等。具体功能包括数据对接管理，系统管理、规则模型管理。</w:t>
      </w:r>
    </w:p>
    <w:tbl>
      <w:tblPr>
        <w:tblStyle w:val="15"/>
        <w:tblW w:w="8222" w:type="dxa"/>
        <w:tblInd w:w="-5" w:type="dxa"/>
        <w:tblLayout w:type="autofit"/>
        <w:tblCellMar>
          <w:top w:w="0" w:type="dxa"/>
          <w:left w:w="108" w:type="dxa"/>
          <w:bottom w:w="0" w:type="dxa"/>
          <w:right w:w="108" w:type="dxa"/>
        </w:tblCellMar>
      </w:tblPr>
      <w:tblGrid>
        <w:gridCol w:w="1096"/>
        <w:gridCol w:w="1145"/>
        <w:gridCol w:w="943"/>
        <w:gridCol w:w="1096"/>
        <w:gridCol w:w="3942"/>
      </w:tblGrid>
      <w:tr w14:paraId="3F6ADCE4">
        <w:tblPrEx>
          <w:tblCellMar>
            <w:top w:w="0" w:type="dxa"/>
            <w:left w:w="108" w:type="dxa"/>
            <w:bottom w:w="0" w:type="dxa"/>
            <w:right w:w="108" w:type="dxa"/>
          </w:tblCellMar>
        </w:tblPrEx>
        <w:trPr>
          <w:trHeight w:val="56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8F99490">
            <w:pPr>
              <w:pStyle w:val="21"/>
              <w:ind w:firstLine="0" w:firstLineChars="0"/>
              <w:jc w:val="both"/>
              <w:rPr>
                <w:rFonts w:ascii="仿宋" w:hAnsi="仿宋" w:eastAsia="仿宋"/>
                <w:sz w:val="24"/>
                <w:szCs w:val="28"/>
              </w:rPr>
            </w:pPr>
            <w:r>
              <w:rPr>
                <w:rFonts w:hint="eastAsia" w:ascii="仿宋" w:hAnsi="仿宋" w:eastAsia="仿宋"/>
                <w:sz w:val="24"/>
                <w:szCs w:val="28"/>
              </w:rPr>
              <w:t>序号</w:t>
            </w:r>
          </w:p>
        </w:tc>
        <w:tc>
          <w:tcPr>
            <w:tcW w:w="3223" w:type="dxa"/>
            <w:gridSpan w:val="3"/>
            <w:tcBorders>
              <w:top w:val="single" w:color="auto" w:sz="4" w:space="0"/>
              <w:left w:val="single" w:color="auto" w:sz="4" w:space="0"/>
              <w:bottom w:val="single" w:color="000000" w:sz="4" w:space="0"/>
              <w:right w:val="single" w:color="auto" w:sz="4" w:space="0"/>
            </w:tcBorders>
            <w:shd w:val="clear" w:color="auto" w:fill="auto"/>
            <w:vAlign w:val="center"/>
          </w:tcPr>
          <w:p w14:paraId="2F8C58E8">
            <w:pPr>
              <w:pStyle w:val="21"/>
              <w:jc w:val="center"/>
              <w:rPr>
                <w:rFonts w:ascii="仿宋" w:hAnsi="仿宋" w:eastAsia="仿宋"/>
                <w:sz w:val="24"/>
                <w:szCs w:val="28"/>
              </w:rPr>
            </w:pPr>
            <w:r>
              <w:rPr>
                <w:rFonts w:hint="eastAsia" w:ascii="仿宋" w:hAnsi="仿宋" w:eastAsia="仿宋"/>
                <w:sz w:val="24"/>
                <w:szCs w:val="28"/>
              </w:rPr>
              <w:t>事项名称</w:t>
            </w:r>
          </w:p>
        </w:tc>
        <w:tc>
          <w:tcPr>
            <w:tcW w:w="4229" w:type="dxa"/>
            <w:tcBorders>
              <w:top w:val="single" w:color="auto" w:sz="4" w:space="0"/>
              <w:left w:val="nil"/>
              <w:bottom w:val="single" w:color="auto" w:sz="4" w:space="0"/>
              <w:right w:val="single" w:color="auto" w:sz="4" w:space="0"/>
            </w:tcBorders>
            <w:shd w:val="clear" w:color="auto" w:fill="auto"/>
            <w:vAlign w:val="center"/>
          </w:tcPr>
          <w:p w14:paraId="684C46D8">
            <w:pPr>
              <w:pStyle w:val="21"/>
              <w:jc w:val="center"/>
              <w:rPr>
                <w:rFonts w:ascii="仿宋" w:hAnsi="仿宋" w:eastAsia="仿宋"/>
                <w:sz w:val="24"/>
                <w:szCs w:val="28"/>
              </w:rPr>
            </w:pPr>
            <w:r>
              <w:rPr>
                <w:rFonts w:hint="eastAsia" w:ascii="仿宋" w:hAnsi="仿宋" w:eastAsia="仿宋"/>
                <w:sz w:val="24"/>
                <w:szCs w:val="28"/>
              </w:rPr>
              <w:t>需求描述</w:t>
            </w:r>
          </w:p>
        </w:tc>
      </w:tr>
      <w:tr w14:paraId="164262DE">
        <w:tblPrEx>
          <w:tblCellMar>
            <w:top w:w="0" w:type="dxa"/>
            <w:left w:w="108" w:type="dxa"/>
            <w:bottom w:w="0" w:type="dxa"/>
            <w:right w:w="108" w:type="dxa"/>
          </w:tblCellMar>
        </w:tblPrEx>
        <w:trPr>
          <w:trHeight w:val="56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F077A7C">
            <w:pPr>
              <w:pStyle w:val="21"/>
              <w:jc w:val="center"/>
              <w:rPr>
                <w:rFonts w:ascii="仿宋" w:hAnsi="仿宋" w:eastAsia="仿宋"/>
                <w:sz w:val="24"/>
                <w:szCs w:val="28"/>
              </w:rPr>
            </w:pPr>
            <w:r>
              <w:rPr>
                <w:rFonts w:hint="eastAsia" w:ascii="仿宋" w:hAnsi="仿宋" w:eastAsia="仿宋"/>
                <w:sz w:val="24"/>
                <w:szCs w:val="28"/>
              </w:rPr>
              <w:t>1</w:t>
            </w:r>
          </w:p>
        </w:tc>
        <w:tc>
          <w:tcPr>
            <w:tcW w:w="12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C9176F4">
            <w:pPr>
              <w:pStyle w:val="21"/>
              <w:ind w:firstLine="0" w:firstLineChars="0"/>
              <w:jc w:val="both"/>
              <w:rPr>
                <w:rFonts w:ascii="仿宋" w:hAnsi="仿宋" w:eastAsia="仿宋"/>
                <w:sz w:val="24"/>
                <w:szCs w:val="28"/>
              </w:rPr>
            </w:pPr>
            <w:r>
              <w:rPr>
                <w:rFonts w:hint="eastAsia" w:ascii="仿宋" w:hAnsi="仿宋" w:eastAsia="仿宋"/>
                <w:sz w:val="24"/>
                <w:szCs w:val="28"/>
              </w:rPr>
              <w:t>数据</w:t>
            </w:r>
          </w:p>
          <w:p w14:paraId="33AF3DFD">
            <w:pPr>
              <w:pStyle w:val="21"/>
              <w:ind w:firstLine="0" w:firstLineChars="0"/>
              <w:jc w:val="both"/>
              <w:rPr>
                <w:rFonts w:ascii="仿宋" w:hAnsi="仿宋" w:eastAsia="仿宋"/>
                <w:sz w:val="24"/>
                <w:szCs w:val="28"/>
              </w:rPr>
            </w:pPr>
            <w:r>
              <w:rPr>
                <w:rFonts w:hint="eastAsia" w:ascii="仿宋" w:hAnsi="仿宋" w:eastAsia="仿宋"/>
                <w:sz w:val="24"/>
                <w:szCs w:val="28"/>
              </w:rPr>
              <w:t>对接</w:t>
            </w:r>
          </w:p>
          <w:p w14:paraId="2E5C3421">
            <w:pPr>
              <w:pStyle w:val="21"/>
              <w:ind w:firstLine="0" w:firstLineChars="0"/>
              <w:jc w:val="both"/>
              <w:rPr>
                <w:rFonts w:ascii="仿宋" w:hAnsi="仿宋" w:eastAsia="仿宋"/>
                <w:sz w:val="24"/>
                <w:szCs w:val="28"/>
              </w:rPr>
            </w:pPr>
            <w:r>
              <w:rPr>
                <w:rFonts w:hint="eastAsia" w:ascii="仿宋" w:hAnsi="仿宋" w:eastAsia="仿宋"/>
                <w:sz w:val="24"/>
                <w:szCs w:val="28"/>
              </w:rPr>
              <w:t>管理</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7CD9669E">
            <w:pPr>
              <w:pStyle w:val="21"/>
              <w:ind w:firstLine="0" w:firstLineChars="0"/>
              <w:jc w:val="both"/>
              <w:rPr>
                <w:rFonts w:ascii="仿宋" w:hAnsi="仿宋" w:eastAsia="仿宋"/>
                <w:sz w:val="24"/>
                <w:szCs w:val="28"/>
              </w:rPr>
            </w:pPr>
            <w:r>
              <w:rPr>
                <w:rFonts w:hint="eastAsia" w:ascii="仿宋" w:hAnsi="仿宋" w:eastAsia="仿宋"/>
                <w:sz w:val="24"/>
                <w:szCs w:val="28"/>
              </w:rPr>
              <w:t>人社部业务协同平台对接</w:t>
            </w:r>
          </w:p>
        </w:tc>
        <w:tc>
          <w:tcPr>
            <w:tcW w:w="4229" w:type="dxa"/>
            <w:tcBorders>
              <w:top w:val="single" w:color="auto" w:sz="4" w:space="0"/>
              <w:left w:val="nil"/>
              <w:bottom w:val="single" w:color="auto" w:sz="4" w:space="0"/>
              <w:right w:val="single" w:color="auto" w:sz="4" w:space="0"/>
            </w:tcBorders>
            <w:shd w:val="clear" w:color="auto" w:fill="auto"/>
            <w:vAlign w:val="center"/>
          </w:tcPr>
          <w:p w14:paraId="18373839">
            <w:pPr>
              <w:pStyle w:val="21"/>
              <w:ind w:firstLine="0" w:firstLineChars="0"/>
              <w:rPr>
                <w:rFonts w:ascii="仿宋" w:hAnsi="仿宋" w:eastAsia="仿宋"/>
                <w:sz w:val="24"/>
                <w:szCs w:val="28"/>
              </w:rPr>
            </w:pPr>
            <w:r>
              <w:rPr>
                <w:rFonts w:hint="eastAsia" w:ascii="仿宋" w:hAnsi="仿宋" w:eastAsia="仿宋"/>
                <w:sz w:val="24"/>
                <w:szCs w:val="28"/>
              </w:rPr>
              <w:t>通过与人社部业务协同平台对接，实现贵州省社保监管系统与部二期监管系统在公文、要情等信息的业务协同和共享。</w:t>
            </w:r>
          </w:p>
        </w:tc>
      </w:tr>
      <w:tr w14:paraId="49EE4D0B">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6B4B4339">
            <w:pPr>
              <w:pStyle w:val="21"/>
              <w:jc w:val="center"/>
              <w:rPr>
                <w:rFonts w:ascii="仿宋" w:hAnsi="仿宋" w:eastAsia="仿宋"/>
                <w:sz w:val="24"/>
                <w:szCs w:val="28"/>
              </w:rPr>
            </w:pPr>
            <w:r>
              <w:rPr>
                <w:rFonts w:hint="eastAsia" w:ascii="仿宋" w:hAnsi="仿宋" w:eastAsia="仿宋"/>
                <w:sz w:val="24"/>
                <w:szCs w:val="28"/>
              </w:rPr>
              <w:t>2</w:t>
            </w:r>
          </w:p>
        </w:tc>
        <w:tc>
          <w:tcPr>
            <w:tcW w:w="1215" w:type="dxa"/>
            <w:vMerge w:val="continue"/>
            <w:tcBorders>
              <w:top w:val="nil"/>
              <w:left w:val="single" w:color="auto" w:sz="4" w:space="0"/>
              <w:bottom w:val="single" w:color="auto" w:sz="4" w:space="0"/>
              <w:right w:val="single" w:color="auto" w:sz="4" w:space="0"/>
            </w:tcBorders>
            <w:vAlign w:val="center"/>
          </w:tcPr>
          <w:p w14:paraId="48F0CF52">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14:paraId="2261DB78">
            <w:pPr>
              <w:pStyle w:val="21"/>
              <w:ind w:firstLine="0" w:firstLineChars="0"/>
              <w:jc w:val="both"/>
              <w:rPr>
                <w:rFonts w:ascii="仿宋" w:hAnsi="仿宋" w:eastAsia="仿宋"/>
                <w:sz w:val="24"/>
                <w:szCs w:val="28"/>
              </w:rPr>
            </w:pPr>
            <w:r>
              <w:rPr>
                <w:rFonts w:hint="eastAsia" w:ascii="仿宋" w:hAnsi="仿宋" w:eastAsia="仿宋"/>
                <w:sz w:val="24"/>
                <w:szCs w:val="28"/>
              </w:rPr>
              <w:t>社保业务生产库的对接</w:t>
            </w:r>
          </w:p>
        </w:tc>
        <w:tc>
          <w:tcPr>
            <w:tcW w:w="4229" w:type="dxa"/>
            <w:tcBorders>
              <w:top w:val="nil"/>
              <w:left w:val="nil"/>
              <w:bottom w:val="single" w:color="auto" w:sz="4" w:space="0"/>
              <w:right w:val="single" w:color="auto" w:sz="4" w:space="0"/>
            </w:tcBorders>
            <w:shd w:val="clear" w:color="auto" w:fill="auto"/>
            <w:vAlign w:val="center"/>
          </w:tcPr>
          <w:p w14:paraId="1EA418B7">
            <w:pPr>
              <w:pStyle w:val="21"/>
              <w:ind w:firstLine="0" w:firstLineChars="0"/>
              <w:rPr>
                <w:rFonts w:ascii="仿宋" w:hAnsi="仿宋" w:eastAsia="仿宋"/>
                <w:sz w:val="24"/>
                <w:szCs w:val="28"/>
              </w:rPr>
            </w:pPr>
            <w:r>
              <w:rPr>
                <w:rFonts w:hint="eastAsia" w:ascii="仿宋" w:hAnsi="仿宋" w:eastAsia="仿宋"/>
                <w:sz w:val="24"/>
                <w:szCs w:val="28"/>
              </w:rPr>
              <w:t>通与社保业务生产库的对接，贵州省社保监管系统自动按照设定的预警/</w:t>
            </w:r>
            <w:r>
              <w:rPr>
                <w:rFonts w:ascii="仿宋" w:hAnsi="仿宋" w:eastAsia="仿宋"/>
                <w:sz w:val="24"/>
                <w:szCs w:val="28"/>
              </w:rPr>
              <w:t>疑点</w:t>
            </w:r>
            <w:r>
              <w:rPr>
                <w:rFonts w:hint="eastAsia" w:ascii="仿宋" w:hAnsi="仿宋" w:eastAsia="仿宋"/>
                <w:sz w:val="24"/>
                <w:szCs w:val="28"/>
              </w:rPr>
              <w:t>规则全面筛查前一天社保经办业务数据,即时生成预警/</w:t>
            </w:r>
            <w:r>
              <w:rPr>
                <w:rFonts w:ascii="仿宋" w:hAnsi="仿宋" w:eastAsia="仿宋"/>
                <w:sz w:val="24"/>
                <w:szCs w:val="28"/>
              </w:rPr>
              <w:t>疑点</w:t>
            </w:r>
            <w:r>
              <w:rPr>
                <w:rFonts w:hint="eastAsia" w:ascii="仿宋" w:hAnsi="仿宋" w:eastAsia="仿宋"/>
                <w:sz w:val="24"/>
                <w:szCs w:val="28"/>
              </w:rPr>
              <w:t>信息,经基金监管部门审核后派发至同级社保经办机构,经办机构工作人员可在当天第一时间根据系统推送的预警/</w:t>
            </w:r>
            <w:r>
              <w:rPr>
                <w:rFonts w:ascii="仿宋" w:hAnsi="仿宋" w:eastAsia="仿宋"/>
                <w:sz w:val="24"/>
                <w:szCs w:val="28"/>
              </w:rPr>
              <w:t>疑点</w:t>
            </w:r>
            <w:r>
              <w:rPr>
                <w:rFonts w:hint="eastAsia" w:ascii="仿宋" w:hAnsi="仿宋" w:eastAsia="仿宋"/>
                <w:sz w:val="24"/>
                <w:szCs w:val="28"/>
              </w:rPr>
              <w:t>信息进行核查、整改，</w:t>
            </w:r>
          </w:p>
        </w:tc>
      </w:tr>
      <w:tr w14:paraId="5C82C345">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4D61F43F">
            <w:pPr>
              <w:pStyle w:val="21"/>
              <w:jc w:val="center"/>
              <w:rPr>
                <w:rFonts w:ascii="仿宋" w:hAnsi="仿宋" w:eastAsia="仿宋"/>
                <w:sz w:val="24"/>
                <w:szCs w:val="28"/>
              </w:rPr>
            </w:pPr>
            <w:r>
              <w:rPr>
                <w:rFonts w:hint="eastAsia" w:ascii="仿宋" w:hAnsi="仿宋" w:eastAsia="仿宋"/>
                <w:sz w:val="24"/>
                <w:szCs w:val="28"/>
              </w:rPr>
              <w:t>3</w:t>
            </w:r>
          </w:p>
        </w:tc>
        <w:tc>
          <w:tcPr>
            <w:tcW w:w="1215" w:type="dxa"/>
            <w:vMerge w:val="continue"/>
            <w:tcBorders>
              <w:top w:val="nil"/>
              <w:left w:val="single" w:color="auto" w:sz="4" w:space="0"/>
              <w:bottom w:val="single" w:color="auto" w:sz="4" w:space="0"/>
              <w:right w:val="single" w:color="auto" w:sz="4" w:space="0"/>
            </w:tcBorders>
            <w:vAlign w:val="center"/>
          </w:tcPr>
          <w:p w14:paraId="3D4300CD">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14:paraId="26625F46">
            <w:pPr>
              <w:pStyle w:val="21"/>
              <w:ind w:firstLine="0" w:firstLineChars="0"/>
              <w:jc w:val="both"/>
              <w:rPr>
                <w:rFonts w:ascii="仿宋" w:hAnsi="仿宋" w:eastAsia="仿宋"/>
                <w:sz w:val="24"/>
                <w:szCs w:val="28"/>
              </w:rPr>
            </w:pPr>
            <w:r>
              <w:rPr>
                <w:rFonts w:hint="eastAsia" w:ascii="仿宋" w:hAnsi="仿宋" w:eastAsia="仿宋"/>
                <w:sz w:val="24"/>
                <w:szCs w:val="28"/>
              </w:rPr>
              <w:t>外部共享数据对接</w:t>
            </w:r>
          </w:p>
        </w:tc>
        <w:tc>
          <w:tcPr>
            <w:tcW w:w="4229" w:type="dxa"/>
            <w:tcBorders>
              <w:top w:val="nil"/>
              <w:left w:val="nil"/>
              <w:bottom w:val="single" w:color="auto" w:sz="4" w:space="0"/>
              <w:right w:val="single" w:color="auto" w:sz="4" w:space="0"/>
            </w:tcBorders>
            <w:shd w:val="clear" w:color="auto" w:fill="auto"/>
            <w:vAlign w:val="center"/>
          </w:tcPr>
          <w:p w14:paraId="4E19593E">
            <w:pPr>
              <w:pStyle w:val="21"/>
              <w:ind w:firstLine="0" w:firstLineChars="0"/>
              <w:rPr>
                <w:rFonts w:ascii="仿宋" w:hAnsi="仿宋" w:eastAsia="仿宋"/>
                <w:sz w:val="24"/>
                <w:szCs w:val="28"/>
              </w:rPr>
            </w:pPr>
            <w:r>
              <w:rPr>
                <w:rFonts w:hint="eastAsia" w:ascii="仿宋" w:hAnsi="仿宋" w:eastAsia="仿宋"/>
                <w:sz w:val="24"/>
                <w:szCs w:val="28"/>
              </w:rPr>
              <w:t>实现与外部公安、民政、司法等部门的死亡和服刑人员共享数据。用于死亡和服刑人员是否存在违规领取待遇的情况以及对业务经办是否对这类人群进行业务阻断进行预警信息提示。</w:t>
            </w:r>
          </w:p>
        </w:tc>
      </w:tr>
      <w:tr w14:paraId="4E56AAD5">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66E29AA7">
            <w:pPr>
              <w:pStyle w:val="21"/>
              <w:jc w:val="center"/>
              <w:rPr>
                <w:rFonts w:ascii="仿宋" w:hAnsi="仿宋" w:eastAsia="仿宋"/>
                <w:sz w:val="24"/>
                <w:szCs w:val="28"/>
              </w:rPr>
            </w:pPr>
            <w:r>
              <w:rPr>
                <w:rFonts w:hint="eastAsia" w:ascii="仿宋" w:hAnsi="仿宋" w:eastAsia="仿宋"/>
                <w:sz w:val="24"/>
                <w:szCs w:val="28"/>
              </w:rPr>
              <w:t>4</w:t>
            </w:r>
          </w:p>
        </w:tc>
        <w:tc>
          <w:tcPr>
            <w:tcW w:w="1215" w:type="dxa"/>
            <w:vMerge w:val="restart"/>
            <w:tcBorders>
              <w:top w:val="nil"/>
              <w:left w:val="single" w:color="auto" w:sz="4" w:space="0"/>
              <w:right w:val="single" w:color="auto" w:sz="4" w:space="0"/>
            </w:tcBorders>
            <w:vAlign w:val="center"/>
          </w:tcPr>
          <w:p w14:paraId="7B445533">
            <w:pPr>
              <w:pStyle w:val="21"/>
              <w:ind w:firstLine="0" w:firstLineChars="0"/>
              <w:jc w:val="both"/>
              <w:rPr>
                <w:rFonts w:ascii="仿宋" w:hAnsi="仿宋" w:eastAsia="仿宋"/>
                <w:sz w:val="24"/>
                <w:szCs w:val="28"/>
              </w:rPr>
            </w:pPr>
            <w:r>
              <w:rPr>
                <w:rFonts w:ascii="仿宋" w:hAnsi="仿宋" w:eastAsia="仿宋"/>
                <w:sz w:val="24"/>
                <w:szCs w:val="28"/>
              </w:rPr>
              <w:t>失信名单管理</w:t>
            </w:r>
          </w:p>
        </w:tc>
        <w:tc>
          <w:tcPr>
            <w:tcW w:w="2008" w:type="dxa"/>
            <w:gridSpan w:val="2"/>
            <w:tcBorders>
              <w:top w:val="nil"/>
              <w:left w:val="nil"/>
              <w:bottom w:val="single" w:color="auto" w:sz="4" w:space="0"/>
              <w:right w:val="single" w:color="auto" w:sz="4" w:space="0"/>
            </w:tcBorders>
            <w:shd w:val="clear" w:color="auto" w:fill="auto"/>
            <w:vAlign w:val="center"/>
          </w:tcPr>
          <w:p w14:paraId="7A49359B">
            <w:pPr>
              <w:pStyle w:val="21"/>
              <w:ind w:firstLine="0" w:firstLineChars="0"/>
              <w:jc w:val="both"/>
              <w:rPr>
                <w:rFonts w:ascii="仿宋" w:hAnsi="仿宋" w:eastAsia="仿宋"/>
                <w:sz w:val="24"/>
                <w:szCs w:val="28"/>
              </w:rPr>
            </w:pPr>
            <w:r>
              <w:rPr>
                <w:rFonts w:ascii="仿宋" w:hAnsi="仿宋" w:eastAsia="仿宋"/>
                <w:sz w:val="24"/>
                <w:szCs w:val="28"/>
              </w:rPr>
              <w:t>失信名单</w:t>
            </w:r>
          </w:p>
          <w:p w14:paraId="5A7795CC">
            <w:pPr>
              <w:pStyle w:val="21"/>
              <w:ind w:firstLine="0" w:firstLineChars="0"/>
              <w:jc w:val="both"/>
              <w:rPr>
                <w:rFonts w:ascii="仿宋" w:hAnsi="仿宋" w:eastAsia="仿宋"/>
                <w:sz w:val="24"/>
                <w:szCs w:val="28"/>
              </w:rPr>
            </w:pPr>
            <w:r>
              <w:rPr>
                <w:rFonts w:ascii="仿宋" w:hAnsi="仿宋" w:eastAsia="仿宋"/>
                <w:sz w:val="24"/>
                <w:szCs w:val="28"/>
              </w:rPr>
              <w:t>信息汇聚</w:t>
            </w:r>
          </w:p>
        </w:tc>
        <w:tc>
          <w:tcPr>
            <w:tcW w:w="4229" w:type="dxa"/>
            <w:tcBorders>
              <w:top w:val="nil"/>
              <w:left w:val="nil"/>
              <w:bottom w:val="single" w:color="auto" w:sz="4" w:space="0"/>
              <w:right w:val="single" w:color="auto" w:sz="4" w:space="0"/>
            </w:tcBorders>
            <w:shd w:val="clear" w:color="auto" w:fill="auto"/>
            <w:vAlign w:val="center"/>
          </w:tcPr>
          <w:p w14:paraId="48C5E0C2">
            <w:pPr>
              <w:pStyle w:val="21"/>
              <w:ind w:firstLine="0" w:firstLineChars="0"/>
              <w:rPr>
                <w:rFonts w:ascii="仿宋" w:hAnsi="仿宋" w:eastAsia="仿宋"/>
                <w:sz w:val="24"/>
                <w:szCs w:val="28"/>
              </w:rPr>
            </w:pPr>
            <w:r>
              <w:rPr>
                <w:rFonts w:hint="eastAsia" w:ascii="仿宋" w:hAnsi="仿宋" w:eastAsia="仿宋"/>
                <w:sz w:val="24"/>
                <w:szCs w:val="28"/>
              </w:rPr>
              <w:t>针对存在社保基金监管违规的参保对象在规定时间内不配合基金追回的，对这类失信名单的信息进行汇聚和录入</w:t>
            </w:r>
          </w:p>
        </w:tc>
      </w:tr>
      <w:tr w14:paraId="2A94AD41">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3BA74C75">
            <w:pPr>
              <w:pStyle w:val="21"/>
              <w:jc w:val="center"/>
              <w:rPr>
                <w:rFonts w:ascii="仿宋" w:hAnsi="仿宋" w:eastAsia="仿宋"/>
                <w:sz w:val="24"/>
                <w:szCs w:val="28"/>
              </w:rPr>
            </w:pPr>
            <w:r>
              <w:rPr>
                <w:rFonts w:hint="eastAsia" w:ascii="仿宋" w:hAnsi="仿宋" w:eastAsia="仿宋"/>
                <w:sz w:val="24"/>
                <w:szCs w:val="28"/>
              </w:rPr>
              <w:t>5</w:t>
            </w:r>
          </w:p>
        </w:tc>
        <w:tc>
          <w:tcPr>
            <w:tcW w:w="1215" w:type="dxa"/>
            <w:vMerge w:val="continue"/>
            <w:tcBorders>
              <w:left w:val="single" w:color="auto" w:sz="4" w:space="0"/>
              <w:right w:val="single" w:color="auto" w:sz="4" w:space="0"/>
            </w:tcBorders>
            <w:vAlign w:val="center"/>
          </w:tcPr>
          <w:p w14:paraId="14114A00">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14:paraId="7AF7EEED">
            <w:pPr>
              <w:pStyle w:val="21"/>
              <w:ind w:firstLine="0" w:firstLineChars="0"/>
              <w:jc w:val="both"/>
              <w:rPr>
                <w:rFonts w:ascii="仿宋" w:hAnsi="仿宋" w:eastAsia="仿宋"/>
                <w:sz w:val="24"/>
                <w:szCs w:val="28"/>
              </w:rPr>
            </w:pPr>
            <w:r>
              <w:rPr>
                <w:rFonts w:ascii="仿宋" w:hAnsi="仿宋" w:eastAsia="仿宋"/>
                <w:sz w:val="24"/>
                <w:szCs w:val="28"/>
              </w:rPr>
              <w:t>失信名单管理</w:t>
            </w:r>
          </w:p>
        </w:tc>
        <w:tc>
          <w:tcPr>
            <w:tcW w:w="4229" w:type="dxa"/>
            <w:tcBorders>
              <w:top w:val="nil"/>
              <w:left w:val="nil"/>
              <w:bottom w:val="single" w:color="auto" w:sz="4" w:space="0"/>
              <w:right w:val="single" w:color="auto" w:sz="4" w:space="0"/>
            </w:tcBorders>
            <w:shd w:val="clear" w:color="auto" w:fill="auto"/>
            <w:vAlign w:val="center"/>
          </w:tcPr>
          <w:p w14:paraId="44F2B6F6">
            <w:pPr>
              <w:pStyle w:val="21"/>
              <w:ind w:firstLine="0" w:firstLineChars="0"/>
              <w:rPr>
                <w:rFonts w:ascii="仿宋" w:hAnsi="仿宋" w:eastAsia="仿宋"/>
                <w:sz w:val="24"/>
                <w:szCs w:val="28"/>
              </w:rPr>
            </w:pPr>
            <w:r>
              <w:rPr>
                <w:rFonts w:hint="eastAsia" w:ascii="仿宋" w:hAnsi="仿宋" w:eastAsia="仿宋"/>
                <w:sz w:val="24"/>
                <w:szCs w:val="28"/>
              </w:rPr>
              <w:t>针对汇聚的失信名单进行管理，根据其信用行为行成红、黑名单。实现红黑名单的动态管理，支持名单的查询、移出功能，</w:t>
            </w:r>
          </w:p>
        </w:tc>
      </w:tr>
      <w:tr w14:paraId="19C8F3E6">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560C7017">
            <w:pPr>
              <w:pStyle w:val="21"/>
              <w:jc w:val="center"/>
              <w:rPr>
                <w:rFonts w:ascii="仿宋" w:hAnsi="仿宋" w:eastAsia="仿宋"/>
                <w:sz w:val="24"/>
                <w:szCs w:val="28"/>
              </w:rPr>
            </w:pPr>
            <w:r>
              <w:rPr>
                <w:rFonts w:hint="eastAsia" w:ascii="仿宋" w:hAnsi="仿宋" w:eastAsia="仿宋"/>
                <w:sz w:val="24"/>
                <w:szCs w:val="28"/>
              </w:rPr>
              <w:t>6</w:t>
            </w:r>
          </w:p>
        </w:tc>
        <w:tc>
          <w:tcPr>
            <w:tcW w:w="1215" w:type="dxa"/>
            <w:vMerge w:val="continue"/>
            <w:tcBorders>
              <w:left w:val="single" w:color="auto" w:sz="4" w:space="0"/>
              <w:bottom w:val="single" w:color="auto" w:sz="4" w:space="0"/>
              <w:right w:val="single" w:color="auto" w:sz="4" w:space="0"/>
            </w:tcBorders>
            <w:vAlign w:val="center"/>
          </w:tcPr>
          <w:p w14:paraId="26C45B55">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14:paraId="01647A60">
            <w:pPr>
              <w:pStyle w:val="21"/>
              <w:ind w:firstLine="0" w:firstLineChars="0"/>
              <w:jc w:val="both"/>
              <w:rPr>
                <w:rFonts w:ascii="仿宋" w:hAnsi="仿宋" w:eastAsia="仿宋"/>
                <w:sz w:val="24"/>
                <w:szCs w:val="28"/>
              </w:rPr>
            </w:pPr>
            <w:r>
              <w:rPr>
                <w:rFonts w:hint="eastAsia" w:ascii="仿宋" w:hAnsi="仿宋" w:eastAsia="仿宋"/>
                <w:sz w:val="24"/>
                <w:szCs w:val="28"/>
              </w:rPr>
              <w:t>失信信息查询</w:t>
            </w:r>
          </w:p>
        </w:tc>
        <w:tc>
          <w:tcPr>
            <w:tcW w:w="4229" w:type="dxa"/>
            <w:tcBorders>
              <w:top w:val="nil"/>
              <w:left w:val="nil"/>
              <w:bottom w:val="single" w:color="auto" w:sz="4" w:space="0"/>
              <w:right w:val="single" w:color="auto" w:sz="4" w:space="0"/>
            </w:tcBorders>
            <w:shd w:val="clear" w:color="auto" w:fill="auto"/>
            <w:vAlign w:val="center"/>
          </w:tcPr>
          <w:p w14:paraId="4605F7DF">
            <w:pPr>
              <w:pStyle w:val="21"/>
              <w:ind w:firstLine="0" w:firstLineChars="0"/>
              <w:rPr>
                <w:rFonts w:ascii="仿宋" w:hAnsi="仿宋" w:eastAsia="仿宋"/>
                <w:sz w:val="24"/>
                <w:szCs w:val="28"/>
              </w:rPr>
            </w:pPr>
            <w:r>
              <w:rPr>
                <w:rFonts w:hint="eastAsia" w:ascii="仿宋" w:hAnsi="仿宋" w:eastAsia="仿宋"/>
                <w:sz w:val="24"/>
                <w:szCs w:val="28"/>
              </w:rPr>
              <w:t>对失信相关信息提供查询信息。</w:t>
            </w:r>
          </w:p>
        </w:tc>
      </w:tr>
      <w:tr w14:paraId="38588643">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1505A694">
            <w:pPr>
              <w:pStyle w:val="21"/>
              <w:jc w:val="center"/>
              <w:rPr>
                <w:rFonts w:ascii="仿宋" w:hAnsi="仿宋" w:eastAsia="仿宋"/>
                <w:sz w:val="24"/>
                <w:szCs w:val="28"/>
              </w:rPr>
            </w:pPr>
            <w:r>
              <w:rPr>
                <w:rFonts w:ascii="仿宋" w:hAnsi="仿宋" w:eastAsia="仿宋"/>
                <w:sz w:val="24"/>
                <w:szCs w:val="28"/>
              </w:rPr>
              <w:t>7</w:t>
            </w:r>
          </w:p>
        </w:tc>
        <w:tc>
          <w:tcPr>
            <w:tcW w:w="1215" w:type="dxa"/>
            <w:vMerge w:val="restart"/>
            <w:tcBorders>
              <w:top w:val="nil"/>
              <w:left w:val="single" w:color="auto" w:sz="4" w:space="0"/>
              <w:bottom w:val="single" w:color="000000" w:sz="4" w:space="0"/>
              <w:right w:val="single" w:color="auto" w:sz="4" w:space="0"/>
            </w:tcBorders>
            <w:shd w:val="clear" w:color="auto" w:fill="auto"/>
            <w:vAlign w:val="center"/>
          </w:tcPr>
          <w:p w14:paraId="1E1BF879">
            <w:pPr>
              <w:pStyle w:val="21"/>
              <w:ind w:firstLine="0" w:firstLineChars="0"/>
              <w:jc w:val="both"/>
              <w:rPr>
                <w:rFonts w:ascii="仿宋" w:hAnsi="仿宋" w:eastAsia="仿宋"/>
                <w:sz w:val="24"/>
                <w:szCs w:val="28"/>
              </w:rPr>
            </w:pPr>
            <w:r>
              <w:rPr>
                <w:rFonts w:hint="eastAsia" w:ascii="仿宋" w:hAnsi="仿宋" w:eastAsia="仿宋"/>
                <w:sz w:val="24"/>
                <w:szCs w:val="28"/>
              </w:rPr>
              <w:t>规则模型管理</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3E7856E3">
            <w:pPr>
              <w:pStyle w:val="21"/>
              <w:ind w:firstLine="0" w:firstLineChars="0"/>
              <w:jc w:val="both"/>
              <w:rPr>
                <w:rFonts w:ascii="仿宋" w:hAnsi="仿宋" w:eastAsia="仿宋"/>
                <w:sz w:val="24"/>
                <w:szCs w:val="28"/>
              </w:rPr>
            </w:pPr>
            <w:r>
              <w:rPr>
                <w:rFonts w:hint="eastAsia" w:ascii="仿宋" w:hAnsi="仿宋" w:eastAsia="仿宋"/>
                <w:sz w:val="24"/>
                <w:szCs w:val="28"/>
              </w:rPr>
              <w:t>规则库管理</w:t>
            </w:r>
          </w:p>
        </w:tc>
        <w:tc>
          <w:tcPr>
            <w:tcW w:w="1016" w:type="dxa"/>
            <w:tcBorders>
              <w:top w:val="nil"/>
              <w:left w:val="nil"/>
              <w:bottom w:val="single" w:color="auto" w:sz="4" w:space="0"/>
              <w:right w:val="single" w:color="auto" w:sz="4" w:space="0"/>
            </w:tcBorders>
            <w:shd w:val="clear" w:color="auto" w:fill="auto"/>
            <w:vAlign w:val="center"/>
          </w:tcPr>
          <w:p w14:paraId="70C39957">
            <w:pPr>
              <w:pStyle w:val="21"/>
              <w:ind w:firstLine="0" w:firstLineChars="0"/>
              <w:jc w:val="both"/>
              <w:rPr>
                <w:rFonts w:ascii="仿宋" w:hAnsi="仿宋" w:eastAsia="仿宋"/>
                <w:sz w:val="24"/>
                <w:szCs w:val="28"/>
              </w:rPr>
            </w:pPr>
            <w:r>
              <w:rPr>
                <w:rFonts w:hint="eastAsia" w:ascii="仿宋" w:hAnsi="仿宋" w:eastAsia="仿宋"/>
                <w:sz w:val="24"/>
                <w:szCs w:val="28"/>
              </w:rPr>
              <w:t>规则库维护</w:t>
            </w:r>
          </w:p>
        </w:tc>
        <w:tc>
          <w:tcPr>
            <w:tcW w:w="4229" w:type="dxa"/>
            <w:tcBorders>
              <w:top w:val="nil"/>
              <w:left w:val="nil"/>
              <w:bottom w:val="single" w:color="auto" w:sz="4" w:space="0"/>
              <w:right w:val="single" w:color="auto" w:sz="4" w:space="0"/>
            </w:tcBorders>
            <w:shd w:val="clear" w:color="auto" w:fill="auto"/>
            <w:vAlign w:val="center"/>
          </w:tcPr>
          <w:p w14:paraId="1ABABEE2">
            <w:pPr>
              <w:pStyle w:val="21"/>
              <w:ind w:firstLine="0" w:firstLineChars="0"/>
              <w:rPr>
                <w:rFonts w:ascii="仿宋" w:hAnsi="仿宋" w:eastAsia="仿宋"/>
                <w:sz w:val="24"/>
                <w:szCs w:val="28"/>
              </w:rPr>
            </w:pPr>
            <w:r>
              <w:rPr>
                <w:rFonts w:hint="eastAsia" w:ascii="仿宋" w:hAnsi="仿宋" w:eastAsia="仿宋"/>
                <w:sz w:val="24"/>
                <w:szCs w:val="28"/>
              </w:rPr>
              <w:t>同步人社部二期基金监管系统规则至贵州省基金监管本地化系统，维护贵州省基金监管本地规则。</w:t>
            </w:r>
          </w:p>
        </w:tc>
      </w:tr>
      <w:tr w14:paraId="419D9EAE">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2FA82982">
            <w:pPr>
              <w:pStyle w:val="21"/>
              <w:jc w:val="center"/>
              <w:rPr>
                <w:rFonts w:ascii="仿宋" w:hAnsi="仿宋" w:eastAsia="仿宋"/>
                <w:sz w:val="24"/>
                <w:szCs w:val="28"/>
              </w:rPr>
            </w:pPr>
            <w:r>
              <w:rPr>
                <w:rFonts w:ascii="仿宋" w:hAnsi="仿宋" w:eastAsia="仿宋"/>
                <w:sz w:val="24"/>
                <w:szCs w:val="28"/>
              </w:rPr>
              <w:t>8</w:t>
            </w:r>
          </w:p>
        </w:tc>
        <w:tc>
          <w:tcPr>
            <w:tcW w:w="1215" w:type="dxa"/>
            <w:vMerge w:val="continue"/>
            <w:tcBorders>
              <w:top w:val="nil"/>
              <w:left w:val="single" w:color="auto" w:sz="4" w:space="0"/>
              <w:bottom w:val="single" w:color="000000" w:sz="4" w:space="0"/>
              <w:right w:val="single" w:color="auto" w:sz="4" w:space="0"/>
            </w:tcBorders>
            <w:vAlign w:val="center"/>
          </w:tcPr>
          <w:p w14:paraId="0BD1A5AF">
            <w:pPr>
              <w:pStyle w:val="21"/>
              <w:jc w:val="center"/>
              <w:rPr>
                <w:rFonts w:ascii="仿宋" w:hAnsi="仿宋" w:eastAsia="仿宋"/>
                <w:sz w:val="24"/>
                <w:szCs w:val="28"/>
              </w:rPr>
            </w:pPr>
          </w:p>
        </w:tc>
        <w:tc>
          <w:tcPr>
            <w:tcW w:w="992" w:type="dxa"/>
            <w:vMerge w:val="continue"/>
            <w:tcBorders>
              <w:top w:val="nil"/>
              <w:left w:val="single" w:color="auto" w:sz="4" w:space="0"/>
              <w:bottom w:val="single" w:color="auto" w:sz="4" w:space="0"/>
              <w:right w:val="single" w:color="auto" w:sz="4" w:space="0"/>
            </w:tcBorders>
            <w:vAlign w:val="center"/>
          </w:tcPr>
          <w:p w14:paraId="006D4265">
            <w:pPr>
              <w:pStyle w:val="21"/>
              <w:jc w:val="center"/>
              <w:rPr>
                <w:rFonts w:ascii="仿宋" w:hAnsi="仿宋" w:eastAsia="仿宋"/>
                <w:sz w:val="24"/>
                <w:szCs w:val="28"/>
              </w:rPr>
            </w:pPr>
          </w:p>
        </w:tc>
        <w:tc>
          <w:tcPr>
            <w:tcW w:w="1016" w:type="dxa"/>
            <w:tcBorders>
              <w:top w:val="nil"/>
              <w:left w:val="nil"/>
              <w:bottom w:val="single" w:color="auto" w:sz="4" w:space="0"/>
              <w:right w:val="single" w:color="auto" w:sz="4" w:space="0"/>
            </w:tcBorders>
            <w:shd w:val="clear" w:color="auto" w:fill="auto"/>
            <w:vAlign w:val="center"/>
          </w:tcPr>
          <w:p w14:paraId="15F9FE72">
            <w:pPr>
              <w:pStyle w:val="21"/>
              <w:ind w:firstLine="0" w:firstLineChars="0"/>
              <w:jc w:val="both"/>
              <w:rPr>
                <w:rFonts w:ascii="仿宋" w:hAnsi="仿宋" w:eastAsia="仿宋"/>
                <w:sz w:val="24"/>
                <w:szCs w:val="28"/>
              </w:rPr>
            </w:pPr>
            <w:r>
              <w:rPr>
                <w:rFonts w:hint="eastAsia" w:ascii="仿宋" w:hAnsi="仿宋" w:eastAsia="仿宋"/>
                <w:sz w:val="24"/>
                <w:szCs w:val="28"/>
              </w:rPr>
              <w:t>规则参数维护</w:t>
            </w:r>
          </w:p>
        </w:tc>
        <w:tc>
          <w:tcPr>
            <w:tcW w:w="4229" w:type="dxa"/>
            <w:tcBorders>
              <w:top w:val="nil"/>
              <w:left w:val="nil"/>
              <w:bottom w:val="single" w:color="auto" w:sz="4" w:space="0"/>
              <w:right w:val="single" w:color="auto" w:sz="4" w:space="0"/>
            </w:tcBorders>
            <w:shd w:val="clear" w:color="auto" w:fill="auto"/>
            <w:vAlign w:val="center"/>
          </w:tcPr>
          <w:p w14:paraId="66B2032B">
            <w:pPr>
              <w:pStyle w:val="21"/>
              <w:ind w:firstLine="0" w:firstLineChars="0"/>
              <w:rPr>
                <w:rFonts w:ascii="仿宋" w:hAnsi="仿宋" w:eastAsia="仿宋"/>
                <w:sz w:val="24"/>
                <w:szCs w:val="28"/>
              </w:rPr>
            </w:pPr>
            <w:r>
              <w:rPr>
                <w:rFonts w:hint="eastAsia" w:ascii="仿宋" w:hAnsi="仿宋" w:eastAsia="仿宋"/>
                <w:sz w:val="24"/>
                <w:szCs w:val="28"/>
              </w:rPr>
              <w:t>维护规则库中每条具体规则的阀值，依据（市）不同情况对规则定义不同阀值。</w:t>
            </w:r>
          </w:p>
        </w:tc>
      </w:tr>
      <w:tr w14:paraId="77462E45">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3FA011B5">
            <w:pPr>
              <w:pStyle w:val="21"/>
              <w:jc w:val="center"/>
              <w:rPr>
                <w:rFonts w:ascii="仿宋" w:hAnsi="仿宋" w:eastAsia="仿宋"/>
                <w:sz w:val="24"/>
                <w:szCs w:val="28"/>
              </w:rPr>
            </w:pPr>
            <w:r>
              <w:rPr>
                <w:rFonts w:ascii="仿宋" w:hAnsi="仿宋" w:eastAsia="仿宋"/>
                <w:sz w:val="24"/>
                <w:szCs w:val="28"/>
              </w:rPr>
              <w:t>9</w:t>
            </w:r>
          </w:p>
        </w:tc>
        <w:tc>
          <w:tcPr>
            <w:tcW w:w="1215" w:type="dxa"/>
            <w:vMerge w:val="continue"/>
            <w:tcBorders>
              <w:top w:val="nil"/>
              <w:left w:val="single" w:color="auto" w:sz="4" w:space="0"/>
              <w:bottom w:val="single" w:color="000000" w:sz="4" w:space="0"/>
              <w:right w:val="single" w:color="auto" w:sz="4" w:space="0"/>
            </w:tcBorders>
            <w:vAlign w:val="center"/>
          </w:tcPr>
          <w:p w14:paraId="06712B95">
            <w:pPr>
              <w:pStyle w:val="21"/>
              <w:jc w:val="center"/>
              <w:rPr>
                <w:rFonts w:ascii="仿宋" w:hAnsi="仿宋" w:eastAsia="仿宋"/>
                <w:sz w:val="24"/>
                <w:szCs w:val="28"/>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5C388A47">
            <w:pPr>
              <w:pStyle w:val="21"/>
              <w:ind w:firstLine="0" w:firstLineChars="0"/>
              <w:jc w:val="both"/>
              <w:rPr>
                <w:rFonts w:ascii="仿宋" w:hAnsi="仿宋" w:eastAsia="仿宋"/>
                <w:sz w:val="24"/>
                <w:szCs w:val="28"/>
              </w:rPr>
            </w:pPr>
            <w:r>
              <w:rPr>
                <w:rFonts w:hint="eastAsia" w:ascii="仿宋" w:hAnsi="仿宋" w:eastAsia="仿宋"/>
                <w:sz w:val="24"/>
                <w:szCs w:val="28"/>
              </w:rPr>
              <w:t>调度管理</w:t>
            </w:r>
          </w:p>
        </w:tc>
        <w:tc>
          <w:tcPr>
            <w:tcW w:w="1016" w:type="dxa"/>
            <w:tcBorders>
              <w:top w:val="nil"/>
              <w:left w:val="nil"/>
              <w:bottom w:val="single" w:color="auto" w:sz="4" w:space="0"/>
              <w:right w:val="single" w:color="auto" w:sz="4" w:space="0"/>
            </w:tcBorders>
            <w:shd w:val="clear" w:color="auto" w:fill="auto"/>
            <w:vAlign w:val="center"/>
          </w:tcPr>
          <w:p w14:paraId="320B1DD4">
            <w:pPr>
              <w:pStyle w:val="21"/>
              <w:ind w:firstLine="0" w:firstLineChars="0"/>
              <w:jc w:val="both"/>
              <w:rPr>
                <w:rFonts w:ascii="仿宋" w:hAnsi="仿宋" w:eastAsia="仿宋"/>
                <w:sz w:val="24"/>
                <w:szCs w:val="28"/>
              </w:rPr>
            </w:pPr>
            <w:r>
              <w:rPr>
                <w:rFonts w:hint="eastAsia" w:ascii="仿宋" w:hAnsi="仿宋" w:eastAsia="仿宋"/>
                <w:sz w:val="24"/>
                <w:szCs w:val="28"/>
              </w:rPr>
              <w:t>任务组管理</w:t>
            </w:r>
          </w:p>
        </w:tc>
        <w:tc>
          <w:tcPr>
            <w:tcW w:w="4229" w:type="dxa"/>
            <w:tcBorders>
              <w:top w:val="nil"/>
              <w:left w:val="nil"/>
              <w:bottom w:val="single" w:color="auto" w:sz="4" w:space="0"/>
              <w:right w:val="single" w:color="auto" w:sz="4" w:space="0"/>
            </w:tcBorders>
            <w:shd w:val="clear" w:color="auto" w:fill="auto"/>
            <w:vAlign w:val="center"/>
          </w:tcPr>
          <w:p w14:paraId="2F611CE8">
            <w:pPr>
              <w:pStyle w:val="21"/>
              <w:ind w:firstLine="0" w:firstLineChars="0"/>
              <w:rPr>
                <w:rFonts w:ascii="仿宋" w:hAnsi="仿宋" w:eastAsia="仿宋"/>
                <w:sz w:val="24"/>
                <w:szCs w:val="28"/>
              </w:rPr>
            </w:pPr>
            <w:r>
              <w:rPr>
                <w:rFonts w:hint="eastAsia" w:ascii="仿宋" w:hAnsi="仿宋" w:eastAsia="仿宋"/>
                <w:sz w:val="24"/>
                <w:szCs w:val="28"/>
              </w:rPr>
              <w:t>维护任务组，对相同类型预警规则的数据筛查、后台数据统计等任务进行分组管理。</w:t>
            </w:r>
          </w:p>
        </w:tc>
      </w:tr>
      <w:tr w14:paraId="104B7102">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47030942">
            <w:pPr>
              <w:pStyle w:val="21"/>
              <w:jc w:val="center"/>
              <w:rPr>
                <w:rFonts w:ascii="仿宋" w:hAnsi="仿宋" w:eastAsia="仿宋"/>
                <w:sz w:val="24"/>
                <w:szCs w:val="28"/>
              </w:rPr>
            </w:pPr>
            <w:r>
              <w:rPr>
                <w:rFonts w:ascii="仿宋" w:hAnsi="仿宋" w:eastAsia="仿宋"/>
                <w:sz w:val="24"/>
                <w:szCs w:val="28"/>
              </w:rPr>
              <w:t>10</w:t>
            </w:r>
          </w:p>
        </w:tc>
        <w:tc>
          <w:tcPr>
            <w:tcW w:w="1215" w:type="dxa"/>
            <w:vMerge w:val="continue"/>
            <w:tcBorders>
              <w:top w:val="nil"/>
              <w:left w:val="single" w:color="auto" w:sz="4" w:space="0"/>
              <w:bottom w:val="single" w:color="000000" w:sz="4" w:space="0"/>
              <w:right w:val="single" w:color="auto" w:sz="4" w:space="0"/>
            </w:tcBorders>
            <w:vAlign w:val="center"/>
          </w:tcPr>
          <w:p w14:paraId="53C13228">
            <w:pPr>
              <w:pStyle w:val="21"/>
              <w:jc w:val="center"/>
              <w:rPr>
                <w:rFonts w:ascii="仿宋" w:hAnsi="仿宋" w:eastAsia="仿宋"/>
                <w:sz w:val="24"/>
                <w:szCs w:val="28"/>
              </w:rPr>
            </w:pPr>
          </w:p>
        </w:tc>
        <w:tc>
          <w:tcPr>
            <w:tcW w:w="992" w:type="dxa"/>
            <w:vMerge w:val="continue"/>
            <w:tcBorders>
              <w:top w:val="nil"/>
              <w:left w:val="single" w:color="auto" w:sz="4" w:space="0"/>
              <w:bottom w:val="single" w:color="auto" w:sz="4" w:space="0"/>
              <w:right w:val="single" w:color="auto" w:sz="4" w:space="0"/>
            </w:tcBorders>
            <w:vAlign w:val="center"/>
          </w:tcPr>
          <w:p w14:paraId="5C3E72A7">
            <w:pPr>
              <w:pStyle w:val="21"/>
              <w:jc w:val="center"/>
              <w:rPr>
                <w:rFonts w:ascii="仿宋" w:hAnsi="仿宋" w:eastAsia="仿宋"/>
                <w:sz w:val="24"/>
                <w:szCs w:val="28"/>
              </w:rPr>
            </w:pPr>
          </w:p>
        </w:tc>
        <w:tc>
          <w:tcPr>
            <w:tcW w:w="1016" w:type="dxa"/>
            <w:tcBorders>
              <w:top w:val="nil"/>
              <w:left w:val="nil"/>
              <w:bottom w:val="single" w:color="auto" w:sz="4" w:space="0"/>
              <w:right w:val="single" w:color="auto" w:sz="4" w:space="0"/>
            </w:tcBorders>
            <w:shd w:val="clear" w:color="auto" w:fill="auto"/>
            <w:vAlign w:val="center"/>
          </w:tcPr>
          <w:p w14:paraId="22111323">
            <w:pPr>
              <w:pStyle w:val="21"/>
              <w:jc w:val="center"/>
              <w:rPr>
                <w:rFonts w:ascii="仿宋" w:hAnsi="仿宋" w:eastAsia="仿宋"/>
                <w:sz w:val="24"/>
                <w:szCs w:val="28"/>
              </w:rPr>
            </w:pPr>
            <w:r>
              <w:rPr>
                <w:rFonts w:hint="eastAsia" w:ascii="仿宋" w:hAnsi="仿宋" w:eastAsia="仿宋"/>
                <w:sz w:val="24"/>
                <w:szCs w:val="28"/>
              </w:rPr>
              <w:t>任务定制</w:t>
            </w:r>
          </w:p>
        </w:tc>
        <w:tc>
          <w:tcPr>
            <w:tcW w:w="4229" w:type="dxa"/>
            <w:tcBorders>
              <w:top w:val="nil"/>
              <w:left w:val="nil"/>
              <w:bottom w:val="single" w:color="auto" w:sz="4" w:space="0"/>
              <w:right w:val="single" w:color="auto" w:sz="4" w:space="0"/>
            </w:tcBorders>
            <w:shd w:val="clear" w:color="auto" w:fill="auto"/>
            <w:vAlign w:val="center"/>
          </w:tcPr>
          <w:p w14:paraId="2CE58925">
            <w:pPr>
              <w:pStyle w:val="21"/>
              <w:ind w:firstLine="0" w:firstLineChars="0"/>
              <w:rPr>
                <w:rFonts w:ascii="仿宋" w:hAnsi="仿宋" w:eastAsia="仿宋"/>
                <w:sz w:val="24"/>
                <w:szCs w:val="28"/>
              </w:rPr>
            </w:pPr>
            <w:r>
              <w:rPr>
                <w:rFonts w:hint="eastAsia" w:ascii="仿宋" w:hAnsi="仿宋" w:eastAsia="仿宋"/>
                <w:sz w:val="24"/>
                <w:szCs w:val="28"/>
              </w:rPr>
              <w:t>制定任务执行计划、调度周期、执行时间。</w:t>
            </w:r>
          </w:p>
        </w:tc>
      </w:tr>
      <w:tr w14:paraId="2947212A">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4C47AC56">
            <w:pPr>
              <w:pStyle w:val="21"/>
              <w:jc w:val="center"/>
              <w:rPr>
                <w:rFonts w:ascii="仿宋" w:hAnsi="仿宋" w:eastAsia="仿宋"/>
                <w:sz w:val="24"/>
                <w:szCs w:val="28"/>
              </w:rPr>
            </w:pPr>
            <w:r>
              <w:rPr>
                <w:rFonts w:ascii="仿宋" w:hAnsi="仿宋" w:eastAsia="仿宋"/>
                <w:sz w:val="24"/>
                <w:szCs w:val="28"/>
              </w:rPr>
              <w:t>11</w:t>
            </w:r>
          </w:p>
        </w:tc>
        <w:tc>
          <w:tcPr>
            <w:tcW w:w="1215" w:type="dxa"/>
            <w:vMerge w:val="continue"/>
            <w:tcBorders>
              <w:top w:val="nil"/>
              <w:left w:val="single" w:color="auto" w:sz="4" w:space="0"/>
              <w:bottom w:val="single" w:color="000000" w:sz="4" w:space="0"/>
              <w:right w:val="single" w:color="auto" w:sz="4" w:space="0"/>
            </w:tcBorders>
            <w:vAlign w:val="center"/>
          </w:tcPr>
          <w:p w14:paraId="053D7CAE">
            <w:pPr>
              <w:pStyle w:val="21"/>
              <w:jc w:val="center"/>
              <w:rPr>
                <w:rFonts w:ascii="仿宋" w:hAnsi="仿宋" w:eastAsia="仿宋"/>
                <w:sz w:val="24"/>
                <w:szCs w:val="28"/>
              </w:rPr>
            </w:pPr>
          </w:p>
        </w:tc>
        <w:tc>
          <w:tcPr>
            <w:tcW w:w="992" w:type="dxa"/>
            <w:vMerge w:val="continue"/>
            <w:tcBorders>
              <w:top w:val="nil"/>
              <w:left w:val="single" w:color="auto" w:sz="4" w:space="0"/>
              <w:bottom w:val="single" w:color="auto" w:sz="4" w:space="0"/>
              <w:right w:val="single" w:color="auto" w:sz="4" w:space="0"/>
            </w:tcBorders>
            <w:vAlign w:val="center"/>
          </w:tcPr>
          <w:p w14:paraId="6A7D76DE">
            <w:pPr>
              <w:pStyle w:val="21"/>
              <w:jc w:val="center"/>
              <w:rPr>
                <w:rFonts w:ascii="仿宋" w:hAnsi="仿宋" w:eastAsia="仿宋"/>
                <w:sz w:val="24"/>
                <w:szCs w:val="28"/>
              </w:rPr>
            </w:pPr>
          </w:p>
        </w:tc>
        <w:tc>
          <w:tcPr>
            <w:tcW w:w="1016" w:type="dxa"/>
            <w:tcBorders>
              <w:top w:val="nil"/>
              <w:left w:val="nil"/>
              <w:bottom w:val="single" w:color="auto" w:sz="4" w:space="0"/>
              <w:right w:val="single" w:color="auto" w:sz="4" w:space="0"/>
            </w:tcBorders>
            <w:shd w:val="clear" w:color="auto" w:fill="auto"/>
            <w:vAlign w:val="center"/>
          </w:tcPr>
          <w:p w14:paraId="1D1E3536">
            <w:pPr>
              <w:pStyle w:val="21"/>
              <w:ind w:firstLine="0" w:firstLineChars="0"/>
              <w:jc w:val="both"/>
              <w:rPr>
                <w:rFonts w:ascii="仿宋" w:hAnsi="仿宋" w:eastAsia="仿宋"/>
                <w:sz w:val="24"/>
                <w:szCs w:val="28"/>
              </w:rPr>
            </w:pPr>
            <w:r>
              <w:rPr>
                <w:rFonts w:hint="eastAsia" w:ascii="仿宋" w:hAnsi="仿宋" w:eastAsia="仿宋"/>
                <w:sz w:val="24"/>
                <w:szCs w:val="28"/>
              </w:rPr>
              <w:t>任务调度</w:t>
            </w:r>
          </w:p>
        </w:tc>
        <w:tc>
          <w:tcPr>
            <w:tcW w:w="4229" w:type="dxa"/>
            <w:tcBorders>
              <w:top w:val="nil"/>
              <w:left w:val="nil"/>
              <w:bottom w:val="single" w:color="auto" w:sz="4" w:space="0"/>
              <w:right w:val="single" w:color="auto" w:sz="4" w:space="0"/>
            </w:tcBorders>
            <w:shd w:val="clear" w:color="auto" w:fill="auto"/>
            <w:vAlign w:val="center"/>
          </w:tcPr>
          <w:p w14:paraId="007737EB">
            <w:pPr>
              <w:pStyle w:val="21"/>
              <w:ind w:firstLine="0" w:firstLineChars="0"/>
              <w:rPr>
                <w:rFonts w:ascii="仿宋" w:hAnsi="仿宋" w:eastAsia="仿宋"/>
                <w:sz w:val="24"/>
                <w:szCs w:val="28"/>
              </w:rPr>
            </w:pPr>
            <w:r>
              <w:rPr>
                <w:rFonts w:hint="eastAsia" w:ascii="仿宋" w:hAnsi="仿宋" w:eastAsia="仿宋"/>
                <w:sz w:val="24"/>
                <w:szCs w:val="28"/>
              </w:rPr>
              <w:t>任务按照执行计划调度执行后，实时查看任务当前执行状态、历史执行记录。</w:t>
            </w:r>
          </w:p>
        </w:tc>
      </w:tr>
      <w:tr w14:paraId="6515E918">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05C9B5FE">
            <w:pPr>
              <w:pStyle w:val="21"/>
              <w:jc w:val="center"/>
              <w:rPr>
                <w:rFonts w:ascii="仿宋" w:hAnsi="仿宋" w:eastAsia="仿宋"/>
                <w:sz w:val="24"/>
                <w:szCs w:val="28"/>
              </w:rPr>
            </w:pPr>
            <w:r>
              <w:rPr>
                <w:rFonts w:hint="eastAsia" w:ascii="仿宋" w:hAnsi="仿宋" w:eastAsia="仿宋"/>
                <w:sz w:val="24"/>
                <w:szCs w:val="28"/>
              </w:rPr>
              <w:t>12</w:t>
            </w:r>
          </w:p>
        </w:tc>
        <w:tc>
          <w:tcPr>
            <w:tcW w:w="1215" w:type="dxa"/>
            <w:vMerge w:val="restart"/>
            <w:tcBorders>
              <w:top w:val="single" w:color="auto" w:sz="4" w:space="0"/>
              <w:left w:val="single" w:color="auto" w:sz="4" w:space="0"/>
              <w:right w:val="single" w:color="000000" w:sz="4" w:space="0"/>
            </w:tcBorders>
            <w:shd w:val="clear" w:color="auto" w:fill="auto"/>
            <w:vAlign w:val="center"/>
          </w:tcPr>
          <w:p w14:paraId="3B1CA630">
            <w:pPr>
              <w:pStyle w:val="21"/>
              <w:ind w:firstLine="0" w:firstLineChars="0"/>
              <w:jc w:val="both"/>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知识库模型管理</w:t>
            </w:r>
          </w:p>
        </w:tc>
        <w:tc>
          <w:tcPr>
            <w:tcW w:w="2008" w:type="dxa"/>
            <w:gridSpan w:val="2"/>
            <w:tcBorders>
              <w:top w:val="nil"/>
              <w:left w:val="nil"/>
              <w:bottom w:val="single" w:color="auto" w:sz="4" w:space="0"/>
              <w:right w:val="single" w:color="auto" w:sz="4" w:space="0"/>
            </w:tcBorders>
            <w:shd w:val="clear" w:color="auto" w:fill="auto"/>
            <w:vAlign w:val="center"/>
          </w:tcPr>
          <w:p w14:paraId="36DE3776">
            <w:pPr>
              <w:pStyle w:val="21"/>
              <w:ind w:firstLine="0" w:firstLineChars="0"/>
              <w:jc w:val="both"/>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数据采集</w:t>
            </w:r>
          </w:p>
        </w:tc>
        <w:tc>
          <w:tcPr>
            <w:tcW w:w="4229" w:type="dxa"/>
            <w:tcBorders>
              <w:top w:val="nil"/>
              <w:left w:val="nil"/>
              <w:bottom w:val="single" w:color="auto" w:sz="4" w:space="0"/>
              <w:right w:val="single" w:color="auto" w:sz="4" w:space="0"/>
            </w:tcBorders>
            <w:shd w:val="clear" w:color="auto" w:fill="auto"/>
            <w:vAlign w:val="center"/>
          </w:tcPr>
          <w:p w14:paraId="14B8BE9B">
            <w:pPr>
              <w:pStyle w:val="21"/>
              <w:ind w:firstLine="0" w:firstLineChars="0"/>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以多源采集与非结构化文本识别共同构建人社部、省、市三级政策法规文件库、社保违规案例库。</w:t>
            </w:r>
          </w:p>
        </w:tc>
      </w:tr>
      <w:tr w14:paraId="2475F174">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236508AE">
            <w:pPr>
              <w:pStyle w:val="21"/>
              <w:jc w:val="center"/>
              <w:rPr>
                <w:rFonts w:ascii="仿宋" w:hAnsi="仿宋" w:eastAsia="仿宋"/>
                <w:sz w:val="24"/>
                <w:szCs w:val="28"/>
              </w:rPr>
            </w:pPr>
            <w:r>
              <w:rPr>
                <w:rFonts w:hint="eastAsia" w:ascii="仿宋" w:hAnsi="仿宋" w:eastAsia="仿宋"/>
                <w:sz w:val="24"/>
                <w:szCs w:val="28"/>
              </w:rPr>
              <w:t>13</w:t>
            </w:r>
          </w:p>
        </w:tc>
        <w:tc>
          <w:tcPr>
            <w:tcW w:w="1215" w:type="dxa"/>
            <w:vMerge w:val="continue"/>
            <w:tcBorders>
              <w:left w:val="single" w:color="auto" w:sz="4" w:space="0"/>
              <w:bottom w:val="single" w:color="000000" w:sz="4" w:space="0"/>
              <w:right w:val="single" w:color="000000" w:sz="4" w:space="0"/>
            </w:tcBorders>
            <w:shd w:val="clear" w:color="auto" w:fill="auto"/>
            <w:vAlign w:val="center"/>
          </w:tcPr>
          <w:p w14:paraId="3C278292">
            <w:pPr>
              <w:pStyle w:val="21"/>
              <w:jc w:val="center"/>
              <w:rPr>
                <w:rFonts w:ascii="仿宋" w:hAnsi="仿宋" w:eastAsia="仿宋"/>
                <w:color w:val="000000" w:themeColor="text1"/>
                <w:sz w:val="24"/>
                <w:szCs w:val="28"/>
                <w14:textFill>
                  <w14:solidFill>
                    <w14:schemeClr w14:val="tx1"/>
                  </w14:solidFill>
                </w14:textFill>
              </w:rPr>
            </w:pPr>
          </w:p>
        </w:tc>
        <w:tc>
          <w:tcPr>
            <w:tcW w:w="2008" w:type="dxa"/>
            <w:gridSpan w:val="2"/>
            <w:tcBorders>
              <w:top w:val="nil"/>
              <w:left w:val="nil"/>
              <w:bottom w:val="single" w:color="auto" w:sz="4" w:space="0"/>
              <w:right w:val="single" w:color="auto" w:sz="4" w:space="0"/>
            </w:tcBorders>
            <w:shd w:val="clear" w:color="auto" w:fill="auto"/>
            <w:vAlign w:val="center"/>
          </w:tcPr>
          <w:p w14:paraId="14836698">
            <w:pPr>
              <w:pStyle w:val="21"/>
              <w:ind w:firstLine="0" w:firstLineChars="0"/>
              <w:jc w:val="both"/>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模型训练</w:t>
            </w:r>
          </w:p>
        </w:tc>
        <w:tc>
          <w:tcPr>
            <w:tcW w:w="4229" w:type="dxa"/>
            <w:tcBorders>
              <w:top w:val="nil"/>
              <w:left w:val="nil"/>
              <w:bottom w:val="single" w:color="auto" w:sz="4" w:space="0"/>
              <w:right w:val="single" w:color="auto" w:sz="4" w:space="0"/>
            </w:tcBorders>
            <w:shd w:val="clear" w:color="auto" w:fill="auto"/>
            <w:vAlign w:val="center"/>
          </w:tcPr>
          <w:p w14:paraId="27B8FF19">
            <w:pPr>
              <w:pStyle w:val="21"/>
              <w:ind w:firstLine="0"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以法律大模型为基础，进行增量训练，注入巨量社保政策文本，融入大量基金监管案例的决策逻辑，构建向量数据库，以支撑法规政策、案例检索需求以及智能问答。</w:t>
            </w:r>
          </w:p>
        </w:tc>
      </w:tr>
      <w:tr w14:paraId="61527F64">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1122BDD4">
            <w:pPr>
              <w:pStyle w:val="21"/>
              <w:jc w:val="center"/>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4</w:t>
            </w:r>
          </w:p>
        </w:tc>
        <w:tc>
          <w:tcPr>
            <w:tcW w:w="12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8EE4788">
            <w:pPr>
              <w:pStyle w:val="21"/>
              <w:ind w:firstLine="0" w:firstLineChars="0"/>
              <w:jc w:val="both"/>
              <w:rPr>
                <w:rFonts w:ascii="仿宋" w:hAnsi="仿宋" w:eastAsia="仿宋"/>
                <w:sz w:val="24"/>
                <w:szCs w:val="28"/>
              </w:rPr>
            </w:pPr>
            <w:r>
              <w:rPr>
                <w:rFonts w:hint="eastAsia" w:ascii="仿宋" w:hAnsi="仿宋" w:eastAsia="仿宋"/>
                <w:sz w:val="24"/>
                <w:szCs w:val="28"/>
              </w:rPr>
              <w:t>系统管理</w:t>
            </w:r>
          </w:p>
        </w:tc>
        <w:tc>
          <w:tcPr>
            <w:tcW w:w="2008" w:type="dxa"/>
            <w:gridSpan w:val="2"/>
            <w:tcBorders>
              <w:top w:val="nil"/>
              <w:left w:val="nil"/>
              <w:bottom w:val="single" w:color="auto" w:sz="4" w:space="0"/>
              <w:right w:val="single" w:color="auto" w:sz="4" w:space="0"/>
            </w:tcBorders>
            <w:shd w:val="clear" w:color="auto" w:fill="auto"/>
            <w:vAlign w:val="center"/>
          </w:tcPr>
          <w:p w14:paraId="0935E789">
            <w:pPr>
              <w:pStyle w:val="21"/>
              <w:ind w:firstLine="0" w:firstLineChars="0"/>
              <w:jc w:val="both"/>
              <w:rPr>
                <w:rFonts w:ascii="仿宋" w:hAnsi="仿宋" w:eastAsia="仿宋"/>
                <w:sz w:val="24"/>
                <w:szCs w:val="28"/>
              </w:rPr>
            </w:pPr>
            <w:r>
              <w:rPr>
                <w:rFonts w:hint="eastAsia" w:ascii="仿宋" w:hAnsi="仿宋" w:eastAsia="仿宋"/>
                <w:sz w:val="24"/>
                <w:szCs w:val="28"/>
              </w:rPr>
              <w:t>用户管理</w:t>
            </w:r>
          </w:p>
        </w:tc>
        <w:tc>
          <w:tcPr>
            <w:tcW w:w="4229" w:type="dxa"/>
            <w:tcBorders>
              <w:top w:val="nil"/>
              <w:left w:val="nil"/>
              <w:bottom w:val="single" w:color="auto" w:sz="4" w:space="0"/>
              <w:right w:val="single" w:color="auto" w:sz="4" w:space="0"/>
            </w:tcBorders>
            <w:shd w:val="clear" w:color="auto" w:fill="auto"/>
            <w:vAlign w:val="center"/>
          </w:tcPr>
          <w:p w14:paraId="16CA6AF4">
            <w:pPr>
              <w:pStyle w:val="21"/>
              <w:ind w:firstLine="0" w:firstLineChars="0"/>
              <w:rPr>
                <w:rFonts w:ascii="仿宋" w:hAnsi="仿宋" w:eastAsia="仿宋"/>
                <w:sz w:val="24"/>
                <w:szCs w:val="28"/>
              </w:rPr>
            </w:pPr>
            <w:r>
              <w:rPr>
                <w:rFonts w:hint="eastAsia" w:ascii="仿宋" w:hAnsi="仿宋" w:eastAsia="仿宋"/>
                <w:sz w:val="24"/>
                <w:szCs w:val="28"/>
              </w:rPr>
              <w:t>针对系统所有用户进行统一管理</w:t>
            </w:r>
          </w:p>
        </w:tc>
      </w:tr>
      <w:tr w14:paraId="0378BB5B">
        <w:tblPrEx>
          <w:tblCellMar>
            <w:top w:w="0" w:type="dxa"/>
            <w:left w:w="108" w:type="dxa"/>
            <w:bottom w:w="0" w:type="dxa"/>
            <w:right w:w="108" w:type="dxa"/>
          </w:tblCellMar>
        </w:tblPrEx>
        <w:trPr>
          <w:trHeight w:val="560" w:hRule="atLeast"/>
        </w:trPr>
        <w:tc>
          <w:tcPr>
            <w:tcW w:w="770" w:type="dxa"/>
            <w:tcBorders>
              <w:top w:val="nil"/>
              <w:left w:val="single" w:color="auto" w:sz="4" w:space="0"/>
              <w:bottom w:val="single" w:color="auto" w:sz="4" w:space="0"/>
              <w:right w:val="single" w:color="auto" w:sz="4" w:space="0"/>
            </w:tcBorders>
            <w:shd w:val="clear" w:color="auto" w:fill="auto"/>
            <w:vAlign w:val="center"/>
          </w:tcPr>
          <w:p w14:paraId="0B3D78D7">
            <w:pPr>
              <w:pStyle w:val="21"/>
              <w:jc w:val="center"/>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5</w:t>
            </w:r>
          </w:p>
        </w:tc>
        <w:tc>
          <w:tcPr>
            <w:tcW w:w="1215" w:type="dxa"/>
            <w:vMerge w:val="continue"/>
            <w:tcBorders>
              <w:top w:val="nil"/>
              <w:left w:val="single" w:color="auto" w:sz="4" w:space="0"/>
              <w:bottom w:val="single" w:color="auto" w:sz="4" w:space="0"/>
              <w:right w:val="single" w:color="auto" w:sz="4" w:space="0"/>
            </w:tcBorders>
            <w:vAlign w:val="center"/>
          </w:tcPr>
          <w:p w14:paraId="5B96E473">
            <w:pPr>
              <w:pStyle w:val="21"/>
              <w:jc w:val="center"/>
              <w:rPr>
                <w:rFonts w:ascii="仿宋" w:hAnsi="仿宋" w:eastAsia="仿宋"/>
                <w:sz w:val="24"/>
                <w:szCs w:val="28"/>
              </w:rPr>
            </w:pPr>
          </w:p>
        </w:tc>
        <w:tc>
          <w:tcPr>
            <w:tcW w:w="2008" w:type="dxa"/>
            <w:gridSpan w:val="2"/>
            <w:tcBorders>
              <w:top w:val="nil"/>
              <w:left w:val="nil"/>
              <w:bottom w:val="single" w:color="auto" w:sz="4" w:space="0"/>
              <w:right w:val="single" w:color="auto" w:sz="4" w:space="0"/>
            </w:tcBorders>
            <w:shd w:val="clear" w:color="auto" w:fill="auto"/>
            <w:vAlign w:val="center"/>
          </w:tcPr>
          <w:p w14:paraId="2D225417">
            <w:pPr>
              <w:pStyle w:val="21"/>
              <w:ind w:firstLine="0" w:firstLineChars="0"/>
              <w:jc w:val="both"/>
              <w:rPr>
                <w:rFonts w:ascii="仿宋" w:hAnsi="仿宋" w:eastAsia="仿宋"/>
                <w:sz w:val="24"/>
                <w:szCs w:val="28"/>
              </w:rPr>
            </w:pPr>
            <w:r>
              <w:rPr>
                <w:rFonts w:hint="eastAsia" w:ascii="仿宋" w:hAnsi="仿宋" w:eastAsia="仿宋"/>
                <w:sz w:val="24"/>
                <w:szCs w:val="28"/>
              </w:rPr>
              <w:t>权限管理</w:t>
            </w:r>
          </w:p>
        </w:tc>
        <w:tc>
          <w:tcPr>
            <w:tcW w:w="4229" w:type="dxa"/>
            <w:tcBorders>
              <w:top w:val="nil"/>
              <w:left w:val="nil"/>
              <w:bottom w:val="single" w:color="auto" w:sz="4" w:space="0"/>
              <w:right w:val="single" w:color="auto" w:sz="4" w:space="0"/>
            </w:tcBorders>
            <w:shd w:val="clear" w:color="auto" w:fill="auto"/>
            <w:vAlign w:val="center"/>
          </w:tcPr>
          <w:p w14:paraId="772AC715">
            <w:pPr>
              <w:pStyle w:val="21"/>
              <w:ind w:firstLine="0" w:firstLineChars="0"/>
              <w:rPr>
                <w:rFonts w:ascii="仿宋" w:hAnsi="仿宋" w:eastAsia="仿宋"/>
                <w:sz w:val="24"/>
                <w:szCs w:val="28"/>
              </w:rPr>
            </w:pPr>
            <w:r>
              <w:rPr>
                <w:rFonts w:hint="eastAsia" w:ascii="仿宋" w:hAnsi="仿宋" w:eastAsia="仿宋"/>
                <w:sz w:val="24"/>
                <w:szCs w:val="28"/>
              </w:rPr>
              <w:t>针对系统所有用户的角色及权限进行统一管理</w:t>
            </w:r>
          </w:p>
        </w:tc>
      </w:tr>
    </w:tbl>
    <w:p w14:paraId="6F4B12B4">
      <w:pPr>
        <w:spacing w:line="360" w:lineRule="auto"/>
        <w:ind w:left="0" w:leftChars="0" w:firstLine="640" w:firstLineChars="200"/>
        <w:outlineLvl w:val="3"/>
        <w:rPr>
          <w:rFonts w:ascii="仿宋" w:hAnsi="仿宋" w:eastAsia="仿宋"/>
          <w:sz w:val="32"/>
          <w:szCs w:val="32"/>
        </w:rPr>
      </w:pPr>
      <w:r>
        <w:rPr>
          <w:rFonts w:hint="eastAsia" w:ascii="仿宋" w:hAnsi="仿宋" w:eastAsia="仿宋"/>
          <w:sz w:val="32"/>
          <w:szCs w:val="32"/>
        </w:rPr>
        <w:t>9.数据分析</w:t>
      </w:r>
    </w:p>
    <w:p w14:paraId="10FA17FB">
      <w:pPr>
        <w:overflowPunct w:val="0"/>
        <w:adjustRightInd w:val="0"/>
        <w:snapToGrid w:val="0"/>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通过引入先进的DeepSeek-R1大模型工具并进行本地化部署，我们将其与贵州省社会保险基金监管系统紧密集成，充分释放大模型在社保基金监管数据分析领域的巨大潜力。这一集成应用将实现对社保基金数据的深度挖掘、智能分析以及直观可视化展示，助力监管部门迅速识别并应对潜在风险，显著提升监管效率与精准度。功能包括主题库、专题库、数据标签构建、数据统计分析助手，智能监管分析助手等。</w:t>
      </w:r>
    </w:p>
    <w:tbl>
      <w:tblPr>
        <w:tblStyle w:val="15"/>
        <w:tblW w:w="87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611"/>
        <w:gridCol w:w="1612"/>
        <w:gridCol w:w="4767"/>
      </w:tblGrid>
      <w:tr w14:paraId="5DBC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shd w:val="clear" w:color="auto" w:fill="auto"/>
            <w:vAlign w:val="center"/>
          </w:tcPr>
          <w:p w14:paraId="72C83375">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3223" w:type="dxa"/>
            <w:gridSpan w:val="2"/>
            <w:shd w:val="clear" w:color="auto" w:fill="auto"/>
            <w:vAlign w:val="center"/>
          </w:tcPr>
          <w:p w14:paraId="3732C412">
            <w:pPr>
              <w:pStyle w:val="21"/>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事项名称</w:t>
            </w:r>
          </w:p>
        </w:tc>
        <w:tc>
          <w:tcPr>
            <w:tcW w:w="4767" w:type="dxa"/>
            <w:shd w:val="clear" w:color="auto" w:fill="auto"/>
            <w:vAlign w:val="center"/>
          </w:tcPr>
          <w:p w14:paraId="2D6F1F6E">
            <w:pPr>
              <w:pStyle w:val="21"/>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需求描述</w:t>
            </w:r>
          </w:p>
        </w:tc>
      </w:tr>
      <w:tr w14:paraId="3436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shd w:val="clear" w:color="auto" w:fill="auto"/>
            <w:vAlign w:val="center"/>
          </w:tcPr>
          <w:p w14:paraId="30789C29">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611" w:type="dxa"/>
            <w:vMerge w:val="restart"/>
            <w:shd w:val="clear" w:color="auto" w:fill="auto"/>
            <w:vAlign w:val="center"/>
          </w:tcPr>
          <w:p w14:paraId="0F84BDC4">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主题库、专题库、数据标签构建</w:t>
            </w:r>
          </w:p>
          <w:p w14:paraId="5E3C8B49">
            <w:pPr>
              <w:pStyle w:val="21"/>
              <w:jc w:val="center"/>
              <w:rPr>
                <w:rFonts w:ascii="仿宋" w:hAnsi="仿宋" w:eastAsia="仿宋"/>
                <w:color w:val="000000" w:themeColor="text1"/>
                <w:sz w:val="24"/>
                <w:szCs w:val="24"/>
                <w14:textFill>
                  <w14:solidFill>
                    <w14:schemeClr w14:val="tx1"/>
                  </w14:solidFill>
                </w14:textFill>
              </w:rPr>
            </w:pPr>
          </w:p>
        </w:tc>
        <w:tc>
          <w:tcPr>
            <w:tcW w:w="1612" w:type="dxa"/>
            <w:shd w:val="clear" w:color="auto" w:fill="auto"/>
            <w:vAlign w:val="center"/>
          </w:tcPr>
          <w:p w14:paraId="64738417">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主题库</w:t>
            </w:r>
          </w:p>
        </w:tc>
        <w:tc>
          <w:tcPr>
            <w:tcW w:w="4767" w:type="dxa"/>
            <w:shd w:val="clear" w:color="auto" w:fill="auto"/>
            <w:vAlign w:val="center"/>
          </w:tcPr>
          <w:p w14:paraId="6B35912F">
            <w:pPr>
              <w:pStyle w:val="21"/>
              <w:ind w:firstLine="0" w:firstLineChars="0"/>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围绕核心社保基金监管场景聚合关联数据，形成可复用的分析资源池</w:t>
            </w:r>
            <w:r>
              <w:rPr>
                <w:rFonts w:hint="eastAsia" w:ascii="仿宋" w:hAnsi="仿宋" w:eastAsia="仿宋"/>
                <w:color w:val="000000" w:themeColor="text1"/>
                <w:sz w:val="24"/>
                <w:szCs w:val="24"/>
                <w14:textFill>
                  <w14:solidFill>
                    <w14:schemeClr w14:val="tx1"/>
                  </w14:solidFill>
                </w14:textFill>
              </w:rPr>
              <w:t>。</w:t>
            </w:r>
          </w:p>
        </w:tc>
      </w:tr>
      <w:tr w14:paraId="7D52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shd w:val="clear" w:color="auto" w:fill="auto"/>
            <w:vAlign w:val="center"/>
          </w:tcPr>
          <w:p w14:paraId="3CBF7F4C">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611" w:type="dxa"/>
            <w:vMerge w:val="continue"/>
            <w:shd w:val="clear" w:color="auto" w:fill="auto"/>
            <w:vAlign w:val="center"/>
          </w:tcPr>
          <w:p w14:paraId="4E78E802">
            <w:pPr>
              <w:pStyle w:val="21"/>
              <w:jc w:val="center"/>
              <w:rPr>
                <w:rFonts w:ascii="仿宋" w:hAnsi="仿宋" w:eastAsia="仿宋"/>
                <w:color w:val="000000" w:themeColor="text1"/>
                <w:sz w:val="24"/>
                <w:szCs w:val="24"/>
                <w14:textFill>
                  <w14:solidFill>
                    <w14:schemeClr w14:val="tx1"/>
                  </w14:solidFill>
                </w14:textFill>
              </w:rPr>
            </w:pPr>
          </w:p>
        </w:tc>
        <w:tc>
          <w:tcPr>
            <w:tcW w:w="1612" w:type="dxa"/>
            <w:shd w:val="clear" w:color="auto" w:fill="auto"/>
            <w:vAlign w:val="center"/>
          </w:tcPr>
          <w:p w14:paraId="423D2DCB">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专题库</w:t>
            </w:r>
          </w:p>
        </w:tc>
        <w:tc>
          <w:tcPr>
            <w:tcW w:w="4767" w:type="dxa"/>
            <w:shd w:val="clear" w:color="auto" w:fill="auto"/>
            <w:vAlign w:val="center"/>
          </w:tcPr>
          <w:p w14:paraId="699D07A8">
            <w:pPr>
              <w:pStyle w:val="21"/>
              <w:ind w:firstLine="0" w:firstLineChars="0"/>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针对具体监管需求（如欺诈骗保识别、基金可持续性分析），从主题库抽取子集并增强衍生指标</w:t>
            </w:r>
            <w:r>
              <w:rPr>
                <w:rFonts w:hint="eastAsia" w:ascii="仿宋" w:hAnsi="仿宋" w:eastAsia="仿宋"/>
                <w:color w:val="000000" w:themeColor="text1"/>
                <w:sz w:val="24"/>
                <w:szCs w:val="24"/>
                <w:lang w:eastAsia="zh-CN"/>
                <w14:textFill>
                  <w14:solidFill>
                    <w14:schemeClr w14:val="tx1"/>
                  </w14:solidFill>
                </w14:textFill>
              </w:rPr>
              <w:t>。</w:t>
            </w:r>
          </w:p>
        </w:tc>
      </w:tr>
      <w:tr w14:paraId="33C5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shd w:val="clear" w:color="auto" w:fill="auto"/>
            <w:vAlign w:val="center"/>
          </w:tcPr>
          <w:p w14:paraId="23793B55">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611" w:type="dxa"/>
            <w:vMerge w:val="continue"/>
            <w:shd w:val="clear" w:color="auto" w:fill="auto"/>
            <w:vAlign w:val="center"/>
          </w:tcPr>
          <w:p w14:paraId="1A540E62">
            <w:pPr>
              <w:pStyle w:val="21"/>
              <w:jc w:val="center"/>
              <w:rPr>
                <w:rFonts w:ascii="仿宋" w:hAnsi="仿宋" w:eastAsia="仿宋"/>
                <w:color w:val="000000" w:themeColor="text1"/>
                <w:sz w:val="24"/>
                <w:szCs w:val="24"/>
                <w14:textFill>
                  <w14:solidFill>
                    <w14:schemeClr w14:val="tx1"/>
                  </w14:solidFill>
                </w14:textFill>
              </w:rPr>
            </w:pPr>
          </w:p>
        </w:tc>
        <w:tc>
          <w:tcPr>
            <w:tcW w:w="1612" w:type="dxa"/>
            <w:shd w:val="clear" w:color="auto" w:fill="auto"/>
            <w:vAlign w:val="center"/>
          </w:tcPr>
          <w:p w14:paraId="3A43FDFC">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数据标签</w:t>
            </w:r>
          </w:p>
        </w:tc>
        <w:tc>
          <w:tcPr>
            <w:tcW w:w="4767" w:type="dxa"/>
            <w:shd w:val="clear" w:color="auto" w:fill="auto"/>
            <w:vAlign w:val="center"/>
          </w:tcPr>
          <w:p w14:paraId="7D705D92">
            <w:pPr>
              <w:pStyle w:val="21"/>
              <w:ind w:firstLine="0" w:firstLineChars="0"/>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将原始数据转化为可被模型识别的结构化信息，支撑分类、检索与关联分析</w:t>
            </w:r>
            <w:r>
              <w:rPr>
                <w:rFonts w:hint="eastAsia" w:ascii="仿宋" w:hAnsi="仿宋" w:eastAsia="仿宋"/>
                <w:color w:val="000000" w:themeColor="text1"/>
                <w:sz w:val="24"/>
                <w:szCs w:val="24"/>
                <w:lang w:eastAsia="zh-CN"/>
                <w14:textFill>
                  <w14:solidFill>
                    <w14:schemeClr w14:val="tx1"/>
                  </w14:solidFill>
                </w14:textFill>
              </w:rPr>
              <w:t>。</w:t>
            </w:r>
          </w:p>
        </w:tc>
      </w:tr>
      <w:tr w14:paraId="3C6F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0" w:type="dxa"/>
            <w:shd w:val="clear" w:color="auto" w:fill="auto"/>
            <w:vAlign w:val="center"/>
          </w:tcPr>
          <w:p w14:paraId="3585B13E">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p w14:paraId="6AA22E3A">
            <w:pPr>
              <w:pStyle w:val="21"/>
              <w:jc w:val="center"/>
              <w:rPr>
                <w:rFonts w:ascii="仿宋" w:hAnsi="仿宋" w:eastAsia="仿宋"/>
                <w:color w:val="000000" w:themeColor="text1"/>
                <w:sz w:val="24"/>
                <w:szCs w:val="24"/>
                <w14:textFill>
                  <w14:solidFill>
                    <w14:schemeClr w14:val="tx1"/>
                  </w14:solidFill>
                </w14:textFill>
              </w:rPr>
            </w:pPr>
          </w:p>
        </w:tc>
        <w:tc>
          <w:tcPr>
            <w:tcW w:w="3223" w:type="dxa"/>
            <w:gridSpan w:val="2"/>
            <w:shd w:val="clear" w:color="auto" w:fill="auto"/>
            <w:vAlign w:val="center"/>
          </w:tcPr>
          <w:p w14:paraId="762B001D">
            <w:pPr>
              <w:pStyle w:val="21"/>
              <w:ind w:firstLine="0" w:firstLineChars="0"/>
              <w:jc w:val="both"/>
              <w:rPr>
                <w:rFonts w:ascii="仿宋" w:hAnsi="仿宋" w:eastAsia="仿宋"/>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数据统计分析助手</w:t>
            </w:r>
          </w:p>
        </w:tc>
        <w:tc>
          <w:tcPr>
            <w:tcW w:w="4767" w:type="dxa"/>
            <w:shd w:val="clear" w:color="auto" w:fill="auto"/>
            <w:vAlign w:val="center"/>
          </w:tcPr>
          <w:p w14:paraId="05008D6F">
            <w:pPr>
              <w:pStyle w:val="21"/>
              <w:ind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DeepSeek能够根据用户输入的自然语言进行智能识别，通过对社保信息系统中的海量数据进行挖掘分析，快速处理和分析社保大数据。如可快速统计不同地区、经办机构、各险种基金支出金额、占比，提升数据分析时效性和精准度。</w:t>
            </w:r>
          </w:p>
        </w:tc>
      </w:tr>
      <w:tr w14:paraId="5433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70" w:type="dxa"/>
            <w:shd w:val="clear" w:color="auto" w:fill="auto"/>
            <w:vAlign w:val="center"/>
          </w:tcPr>
          <w:p w14:paraId="3F198C84">
            <w:pPr>
              <w:pStyle w:val="21"/>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p>
        </w:tc>
        <w:tc>
          <w:tcPr>
            <w:tcW w:w="3223" w:type="dxa"/>
            <w:gridSpan w:val="2"/>
            <w:shd w:val="clear" w:color="auto" w:fill="auto"/>
            <w:vAlign w:val="center"/>
          </w:tcPr>
          <w:p w14:paraId="1C540DAD">
            <w:pPr>
              <w:pStyle w:val="21"/>
              <w:ind w:firstLine="0" w:firstLineChars="0"/>
              <w:jc w:val="both"/>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智能监管分析助手</w:t>
            </w:r>
          </w:p>
        </w:tc>
        <w:tc>
          <w:tcPr>
            <w:tcW w:w="4767" w:type="dxa"/>
            <w:shd w:val="clear" w:color="auto" w:fill="auto"/>
            <w:vAlign w:val="center"/>
          </w:tcPr>
          <w:p w14:paraId="4440A794">
            <w:pPr>
              <w:pStyle w:val="21"/>
              <w:ind w:firstLine="0" w:firstLineChars="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通过大模型持续学习积累监管经验，建立24小时在线巡查机制，自动发现社保业务异常并生成处置建议，形成自我完善的监管闭环，并根据知识库不断自我迭代升级，持续实现非现场监管效率倍增</w:t>
            </w:r>
            <w:r>
              <w:rPr>
                <w:rFonts w:hint="eastAsia" w:ascii="仿宋" w:hAnsi="仿宋" w:eastAsia="仿宋"/>
                <w:color w:val="000000" w:themeColor="text1"/>
                <w:sz w:val="24"/>
                <w:szCs w:val="24"/>
                <w:lang w:eastAsia="zh-CN"/>
                <w14:textFill>
                  <w14:solidFill>
                    <w14:schemeClr w14:val="tx1"/>
                  </w14:solidFill>
                </w14:textFill>
              </w:rPr>
              <w:t>。</w:t>
            </w:r>
          </w:p>
        </w:tc>
      </w:tr>
    </w:tbl>
    <w:p w14:paraId="042CAAFC">
      <w:pPr>
        <w:pStyle w:val="13"/>
        <w:numPr>
          <w:ilvl w:val="255"/>
          <w:numId w:val="0"/>
        </w:numPr>
        <w:ind w:firstLine="640" w:firstLineChars="200"/>
        <w:rPr>
          <w:rFonts w:hint="eastAsia" w:ascii="仿宋" w:hAnsi="仿宋" w:eastAsia="仿宋"/>
          <w:sz w:val="32"/>
          <w:szCs w:val="32"/>
          <w:lang w:eastAsia="zh-CN"/>
        </w:rPr>
      </w:pPr>
      <w:r>
        <w:rPr>
          <w:rFonts w:hint="eastAsia" w:ascii="仿宋" w:hAnsi="仿宋" w:eastAsia="仿宋"/>
          <w:sz w:val="32"/>
          <w:szCs w:val="32"/>
        </w:rPr>
        <w:t>备注：</w:t>
      </w:r>
      <w:r>
        <w:rPr>
          <w:rFonts w:ascii="仿宋" w:hAnsi="仿宋" w:eastAsia="仿宋"/>
          <w:sz w:val="32"/>
          <w:szCs w:val="32"/>
        </w:rPr>
        <w:t>数据标签体系、主题库和专题库是支撑社保基金监管业务逻辑和模型训练的核心基础设施</w:t>
      </w:r>
      <w:r>
        <w:rPr>
          <w:rFonts w:hint="eastAsia" w:ascii="仿宋" w:hAnsi="仿宋" w:eastAsia="仿宋"/>
          <w:sz w:val="32"/>
          <w:szCs w:val="32"/>
          <w:lang w:eastAsia="zh-CN"/>
        </w:rPr>
        <w:t>。</w:t>
      </w:r>
    </w:p>
    <w:p w14:paraId="3F278393">
      <w:pPr>
        <w:pStyle w:val="6"/>
        <w:numPr>
          <w:ilvl w:val="0"/>
          <w:numId w:val="0"/>
        </w:numPr>
        <w:ind w:leftChars="200" w:firstLine="0" w:firstLineChars="0"/>
        <w:rPr>
          <w:rFonts w:hint="eastAsia"/>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3.</w:t>
      </w:r>
      <w:r>
        <w:rPr>
          <w:rFonts w:hint="eastAsia" w:eastAsia="仿宋"/>
          <w:b/>
          <w:bCs/>
          <w:color w:val="000000" w:themeColor="text1"/>
          <w:sz w:val="32"/>
          <w:szCs w:val="32"/>
          <w:lang w:val="en-US" w:eastAsia="zh-CN"/>
          <w14:textFill>
            <w14:solidFill>
              <w14:schemeClr w14:val="tx1"/>
            </w14:solidFill>
          </w14:textFill>
        </w:rPr>
        <w:t>贵州省</w:t>
      </w:r>
      <w:r>
        <w:rPr>
          <w:rFonts w:hint="eastAsia" w:ascii="仿宋" w:hAnsi="仿宋" w:eastAsia="仿宋"/>
          <w:b/>
          <w:bCs/>
          <w:color w:val="000000" w:themeColor="text1"/>
          <w:sz w:val="32"/>
          <w:szCs w:val="32"/>
          <w:lang w:val="en-US" w:eastAsia="zh-CN"/>
          <w14:textFill>
            <w14:solidFill>
              <w14:schemeClr w14:val="tx1"/>
            </w14:solidFill>
          </w14:textFill>
        </w:rPr>
        <w:t>工伤认定</w:t>
      </w:r>
      <w:r>
        <w:rPr>
          <w:rFonts w:hint="eastAsia" w:eastAsia="仿宋"/>
          <w:b/>
          <w:bCs/>
          <w:color w:val="000000" w:themeColor="text1"/>
          <w:sz w:val="32"/>
          <w:szCs w:val="32"/>
          <w:lang w:val="en-US" w:eastAsia="zh-CN"/>
          <w14:textFill>
            <w14:solidFill>
              <w14:schemeClr w14:val="tx1"/>
            </w14:solidFill>
          </w14:textFill>
        </w:rPr>
        <w:t>劳动能力</w:t>
      </w:r>
      <w:r>
        <w:rPr>
          <w:rFonts w:hint="eastAsia" w:ascii="仿宋" w:hAnsi="仿宋" w:eastAsia="仿宋"/>
          <w:b/>
          <w:bCs/>
          <w:color w:val="000000" w:themeColor="text1"/>
          <w:sz w:val="32"/>
          <w:szCs w:val="32"/>
          <w:lang w:val="en-US" w:eastAsia="zh-CN"/>
          <w14:textFill>
            <w14:solidFill>
              <w14:schemeClr w14:val="tx1"/>
            </w14:solidFill>
          </w14:textFill>
        </w:rPr>
        <w:t>鉴定</w:t>
      </w:r>
      <w:r>
        <w:rPr>
          <w:rFonts w:hint="eastAsia" w:eastAsia="仿宋"/>
          <w:b/>
          <w:bCs/>
          <w:color w:val="000000" w:themeColor="text1"/>
          <w:sz w:val="32"/>
          <w:szCs w:val="32"/>
          <w:lang w:val="en-US" w:eastAsia="zh-CN"/>
          <w14:textFill>
            <w14:solidFill>
              <w14:schemeClr w14:val="tx1"/>
            </w14:solidFill>
          </w14:textFill>
        </w:rPr>
        <w:t>信息</w:t>
      </w:r>
      <w:r>
        <w:rPr>
          <w:rFonts w:hint="eastAsia" w:ascii="仿宋" w:hAnsi="仿宋" w:eastAsia="仿宋"/>
          <w:b/>
          <w:bCs/>
          <w:color w:val="000000" w:themeColor="text1"/>
          <w:sz w:val="32"/>
          <w:szCs w:val="32"/>
          <w:lang w:val="en-US" w:eastAsia="zh-CN"/>
          <w14:textFill>
            <w14:solidFill>
              <w14:schemeClr w14:val="tx1"/>
            </w14:solidFill>
          </w14:textFill>
        </w:rPr>
        <w:t>系统整合及功能完善</w:t>
      </w:r>
    </w:p>
    <w:p w14:paraId="6610DED7">
      <w:pPr>
        <w:pStyle w:val="7"/>
        <w:numPr>
          <w:ilvl w:val="-1"/>
          <w:numId w:val="0"/>
        </w:numPr>
        <w:ind w:firstLine="643" w:firstLineChars="200"/>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整合工伤认定</w:t>
      </w:r>
      <w:r>
        <w:rPr>
          <w:rFonts w:hint="eastAsia" w:eastAsia="仿宋"/>
          <w:b/>
          <w:bCs/>
          <w:color w:val="000000" w:themeColor="text1"/>
          <w:sz w:val="32"/>
          <w:szCs w:val="32"/>
          <w:lang w:val="en-US" w:eastAsia="zh-CN"/>
          <w14:textFill>
            <w14:solidFill>
              <w14:schemeClr w14:val="tx1"/>
            </w14:solidFill>
          </w14:textFill>
        </w:rPr>
        <w:t>劳动能力</w:t>
      </w:r>
      <w:r>
        <w:rPr>
          <w:rFonts w:hint="eastAsia" w:ascii="仿宋_GB2312" w:hAnsi="仿宋_GB2312" w:eastAsia="仿宋_GB2312" w:cs="仿宋_GB2312"/>
          <w:color w:val="auto"/>
          <w:sz w:val="32"/>
          <w:szCs w:val="32"/>
          <w:lang w:val="en-US" w:eastAsia="zh-CN"/>
        </w:rPr>
        <w:t>鉴定系统</w:t>
      </w:r>
    </w:p>
    <w:p w14:paraId="685F1770">
      <w:pPr>
        <w:rPr>
          <w:rFonts w:hint="default"/>
          <w:lang w:val="en-US" w:eastAsia="zh-CN"/>
        </w:rPr>
      </w:pPr>
      <w:r>
        <w:rPr>
          <w:rFonts w:hint="default"/>
          <w:lang w:val="en-US" w:eastAsia="zh-CN"/>
        </w:rPr>
        <w:t>借鉴企业职工基本养老保险业务“大管控”实现思路，以全国标准统一、数据实时同步、部省两级联动、风险有效管控为总体要求，遵循人社部最新制定的社会保险全险种业务中台数据结构、原子业务清单和数据处理逻辑、风险管控规则等全国统一标准规范</w:t>
      </w:r>
      <w:r>
        <w:rPr>
          <w:rFonts w:hint="eastAsia"/>
          <w:lang w:val="en-US" w:eastAsia="zh-CN"/>
        </w:rPr>
        <w:t>。整合</w:t>
      </w:r>
      <w:r>
        <w:rPr>
          <w:rFonts w:hint="default"/>
          <w:lang w:val="en-US" w:eastAsia="zh-CN"/>
        </w:rPr>
        <w:t>现有的工伤认</w:t>
      </w:r>
      <w:r>
        <w:rPr>
          <w:rFonts w:hint="default"/>
          <w:b w:val="0"/>
          <w:bCs w:val="0"/>
          <w:lang w:val="en-US" w:eastAsia="zh-CN"/>
        </w:rPr>
        <w:t>定</w:t>
      </w:r>
      <w:r>
        <w:rPr>
          <w:rFonts w:hint="eastAsia" w:eastAsia="仿宋"/>
          <w:b w:val="0"/>
          <w:bCs w:val="0"/>
          <w:color w:val="000000" w:themeColor="text1"/>
          <w:sz w:val="32"/>
          <w:szCs w:val="32"/>
          <w:lang w:val="en-US" w:eastAsia="zh-CN"/>
          <w14:textFill>
            <w14:solidFill>
              <w14:schemeClr w14:val="tx1"/>
            </w14:solidFill>
          </w14:textFill>
        </w:rPr>
        <w:t>劳动能力</w:t>
      </w:r>
      <w:r>
        <w:rPr>
          <w:rFonts w:hint="default"/>
          <w:b w:val="0"/>
          <w:bCs w:val="0"/>
          <w:lang w:val="en-US" w:eastAsia="zh-CN"/>
        </w:rPr>
        <w:t>鉴定系</w:t>
      </w:r>
      <w:r>
        <w:rPr>
          <w:rFonts w:hint="default"/>
          <w:lang w:val="en-US" w:eastAsia="zh-CN"/>
        </w:rPr>
        <w:t>统，实现新就业形态就业人员发生职业伤害时，平台企业或服务机构、本人或者其近亲属可通过当地人社部门线上服务渠道或者当地经办大厅，预约劳动能力鉴定时间，参加职业伤害发生地的地级以上市劳动能力鉴定委员会组织的劳动能力鉴定，并将鉴定结果报送至全国信息平台。</w:t>
      </w:r>
    </w:p>
    <w:p w14:paraId="0E7D799A">
      <w:pPr>
        <w:pStyle w:val="7"/>
        <w:numPr>
          <w:ilvl w:val="-1"/>
          <w:numId w:val="0"/>
        </w:numPr>
        <w:ind w:firstLine="643" w:firstLineChars="200"/>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（2）扩展</w:t>
      </w:r>
      <w:r>
        <w:rPr>
          <w:rFonts w:hint="eastAsia" w:ascii="仿宋_GB2312" w:hAnsi="仿宋_GB2312" w:eastAsia="仿宋_GB2312" w:cs="仿宋_GB2312"/>
          <w:color w:val="auto"/>
          <w:sz w:val="32"/>
          <w:szCs w:val="32"/>
          <w:lang w:val="en-US" w:eastAsia="zh-CN"/>
        </w:rPr>
        <w:t>贵州省职业伤害保障</w:t>
      </w:r>
      <w:r>
        <w:rPr>
          <w:rFonts w:hint="eastAsia" w:cs="仿宋_GB2312"/>
          <w:color w:val="auto"/>
          <w:sz w:val="32"/>
          <w:szCs w:val="32"/>
          <w:lang w:val="en-US" w:eastAsia="zh-CN"/>
        </w:rPr>
        <w:t>功能</w:t>
      </w:r>
    </w:p>
    <w:p w14:paraId="04B5457F">
      <w:pPr>
        <w:pStyle w:val="8"/>
        <w:numPr>
          <w:ilvl w:val="-1"/>
          <w:numId w:val="0"/>
        </w:numPr>
        <w:ind w:firstLine="643" w:firstLineChars="200"/>
        <w:rPr>
          <w:rFonts w:hint="eastAsia"/>
          <w:lang w:eastAsia="zh-CN"/>
        </w:rPr>
      </w:pPr>
      <w:r>
        <w:rPr>
          <w:rFonts w:hint="eastAsia"/>
          <w:lang w:val="en-US" w:eastAsia="zh-CN"/>
        </w:rPr>
        <w:t>a.</w:t>
      </w:r>
      <w:r>
        <w:rPr>
          <w:rFonts w:hint="eastAsia"/>
          <w:lang w:eastAsia="zh-CN"/>
        </w:rPr>
        <w:t>新建省级前置系统</w:t>
      </w:r>
    </w:p>
    <w:p w14:paraId="1DA8FE1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新建省级前置系统，与全国信息平台部省交互子系统对接。省级业务前置系统实现服务代理、消息监听客户端、信息加密等，通过负载均衡为省级业务系统提供服务。</w:t>
      </w:r>
    </w:p>
    <w:p w14:paraId="168629D7">
      <w:pPr>
        <w:pStyle w:val="8"/>
        <w:numPr>
          <w:ilvl w:val="-1"/>
          <w:numId w:val="0"/>
        </w:numPr>
        <w:ind w:firstLine="643" w:firstLineChars="200"/>
        <w:rPr>
          <w:rFonts w:hint="eastAsia"/>
          <w:lang w:eastAsia="zh-CN"/>
        </w:rPr>
      </w:pPr>
      <w:r>
        <w:rPr>
          <w:rFonts w:hint="eastAsia"/>
          <w:lang w:val="en-US" w:eastAsia="zh-CN"/>
        </w:rPr>
        <w:t>b.</w:t>
      </w:r>
      <w:r>
        <w:rPr>
          <w:rFonts w:hint="eastAsia"/>
          <w:lang w:eastAsia="zh-CN"/>
        </w:rPr>
        <w:t>新建省级交换库</w:t>
      </w:r>
    </w:p>
    <w:p w14:paraId="1C72AC8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新建省级交换库，根据部级下发的职业伤害保障交换库库表结构，在省级创建交换库实例，省级交换库与部级交换库保持同构，根据数据同步周期在养老保险全国统筹数据同步平台配置同步策略，与全国信息平台交换库实现数据实时同步。</w:t>
      </w:r>
    </w:p>
    <w:p w14:paraId="11196FC8">
      <w:pPr>
        <w:pStyle w:val="8"/>
        <w:numPr>
          <w:ilvl w:val="-1"/>
          <w:numId w:val="0"/>
        </w:numPr>
        <w:ind w:firstLine="643" w:firstLineChars="200"/>
        <w:rPr>
          <w:rFonts w:hint="default"/>
          <w:lang w:val="en-US" w:eastAsia="zh-CN"/>
        </w:rPr>
      </w:pPr>
      <w:r>
        <w:rPr>
          <w:rFonts w:hint="eastAsia"/>
          <w:lang w:val="en-US" w:eastAsia="zh-CN"/>
        </w:rPr>
        <w:t>c.</w:t>
      </w:r>
      <w:r>
        <w:rPr>
          <w:rFonts w:hint="eastAsia"/>
          <w:lang w:eastAsia="zh-CN"/>
        </w:rPr>
        <w:t>新建贵州省职业伤害保障业务管理</w:t>
      </w:r>
      <w:r>
        <w:rPr>
          <w:rFonts w:hint="eastAsia"/>
          <w:lang w:val="en-US" w:eastAsia="zh-CN"/>
        </w:rPr>
        <w:t>功能</w:t>
      </w:r>
    </w:p>
    <w:p w14:paraId="4F35F1F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新建贵州省职业伤害保障业务管理子系统，实现本省新就业形态就业人员参保登记、缴费管理、事故备案、职业伤害确认、劳动能力鉴定、待遇核发等业务办理。并通过省级前置系统实现与全国信息平台对接，实现职业伤害业务信息接收和业务结果报送。同时需将该系统延伸至商业保险机构，支持商业保险机构办理待遇给付申请、工伤认定申请、劳动能力鉴定申请等相关业务；</w:t>
      </w:r>
    </w:p>
    <w:p w14:paraId="26BA1FD4">
      <w:pPr>
        <w:pStyle w:val="8"/>
        <w:numPr>
          <w:ilvl w:val="-1"/>
          <w:numId w:val="0"/>
        </w:numPr>
        <w:ind w:firstLine="643" w:firstLineChars="200"/>
        <w:rPr>
          <w:rFonts w:hint="default"/>
          <w:lang w:val="en-US" w:eastAsia="zh-CN"/>
        </w:rPr>
      </w:pPr>
      <w:r>
        <w:rPr>
          <w:rFonts w:hint="eastAsia"/>
          <w:lang w:val="en-US" w:eastAsia="zh-CN"/>
        </w:rPr>
        <w:t>d.</w:t>
      </w:r>
      <w:r>
        <w:rPr>
          <w:rFonts w:hint="eastAsia"/>
          <w:lang w:eastAsia="zh-CN"/>
        </w:rPr>
        <w:t>新建贵州省职业伤害保障监管</w:t>
      </w:r>
      <w:r>
        <w:rPr>
          <w:rFonts w:hint="eastAsia"/>
          <w:lang w:val="en-US" w:eastAsia="zh-CN"/>
        </w:rPr>
        <w:t>功能</w:t>
      </w:r>
    </w:p>
    <w:p w14:paraId="5234E7A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新建贵州省职业伤害保障险监管子系统，实现业务协同和数据归集流转，实现职业伤害保障业务全程管理、业务全程监管，切实保障新就业形态从业人员的社会保障权益。</w:t>
      </w:r>
    </w:p>
    <w:p w14:paraId="5C52B3BE">
      <w:pPr>
        <w:pStyle w:val="8"/>
        <w:numPr>
          <w:ilvl w:val="-1"/>
          <w:numId w:val="0"/>
        </w:numPr>
        <w:ind w:firstLine="643" w:firstLineChars="200"/>
        <w:rPr>
          <w:rFonts w:hint="default"/>
          <w:lang w:val="en-US" w:eastAsia="zh-CN"/>
        </w:rPr>
      </w:pPr>
      <w:r>
        <w:rPr>
          <w:rFonts w:hint="eastAsia"/>
          <w:lang w:val="en-US" w:eastAsia="zh-CN"/>
        </w:rPr>
        <w:t>e.</w:t>
      </w:r>
      <w:r>
        <w:rPr>
          <w:rFonts w:hint="eastAsia"/>
          <w:lang w:eastAsia="zh-CN"/>
        </w:rPr>
        <w:t>新建贵州省职业伤害保障决策</w:t>
      </w:r>
      <w:r>
        <w:rPr>
          <w:rFonts w:hint="eastAsia"/>
          <w:lang w:val="en-US" w:eastAsia="zh-CN"/>
        </w:rPr>
        <w:t>功能</w:t>
      </w:r>
    </w:p>
    <w:p w14:paraId="4B7483D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新建贵州省职业伤害保障决策子系统，实现职业伤害保障险业务核验、业务监控、数据分析比对。</w:t>
      </w:r>
    </w:p>
    <w:p w14:paraId="0C882235">
      <w:pPr>
        <w:pStyle w:val="8"/>
        <w:numPr>
          <w:ilvl w:val="-1"/>
          <w:numId w:val="0"/>
        </w:numPr>
        <w:ind w:firstLine="643" w:firstLineChars="200"/>
        <w:rPr>
          <w:rFonts w:hint="eastAsia" w:ascii="仿宋_GB2312" w:hAnsi="仿宋_GB2312" w:eastAsia="仿宋_GB2312"/>
          <w:sz w:val="32"/>
          <w:szCs w:val="22"/>
          <w:lang w:val="en-US" w:eastAsia="zh-CN"/>
        </w:rPr>
      </w:pPr>
      <w:r>
        <w:rPr>
          <w:rFonts w:hint="eastAsia"/>
          <w:sz w:val="32"/>
          <w:szCs w:val="22"/>
          <w:lang w:val="en-US" w:eastAsia="zh-CN"/>
        </w:rPr>
        <w:t>f.</w:t>
      </w:r>
      <w:r>
        <w:rPr>
          <w:rFonts w:hint="eastAsia" w:ascii="仿宋_GB2312" w:hAnsi="仿宋_GB2312" w:eastAsia="仿宋_GB2312"/>
          <w:sz w:val="32"/>
          <w:szCs w:val="22"/>
          <w:lang w:val="en-US" w:eastAsia="zh-CN"/>
        </w:rPr>
        <w:t>改造相关子系统</w:t>
      </w:r>
    </w:p>
    <w:p w14:paraId="4E4771A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改造业务档案一体化系统，实现业务电子材料的存储和调阅，保存业务电子材料。并将职业伤害确认结论书、劳动能力鉴定结论书等业务电子材料，通过省级前置系统调用全国信息平台提供的相关接口报送至全国信息平台。</w:t>
      </w:r>
    </w:p>
    <w:p w14:paraId="471311A1">
      <w:pPr>
        <w:pStyle w:val="13"/>
        <w:rPr>
          <w:rFonts w:hint="eastAsia"/>
          <w:lang w:eastAsia="zh-CN"/>
        </w:rPr>
      </w:pPr>
      <w:r>
        <w:rPr>
          <w:rFonts w:hint="eastAsia"/>
          <w:lang w:eastAsia="zh-CN"/>
        </w:rPr>
        <w:t>改造现有社税平台，通过社税平台与省级税务平台对接，将平台企业、人员、订单汇总等信息推送到省级税务机关，省级税务机关完成缴费核定和基金征收后，将征收结果数据及时反馈至职业伤害保障业务管理子系统，实现新就业形态就业人员税务征缴业务衔接顺畅。</w:t>
      </w:r>
    </w:p>
    <w:p w14:paraId="220FF63F">
      <w:pPr>
        <w:pStyle w:val="13"/>
        <w:rPr>
          <w:rFonts w:hint="eastAsia"/>
          <w:lang w:eastAsia="zh-CN"/>
        </w:rPr>
      </w:pPr>
      <w:r>
        <w:rPr>
          <w:rFonts w:hint="eastAsia"/>
          <w:lang w:eastAsia="zh-CN"/>
        </w:rPr>
        <w:t>改造现有社银平台，通过社银平台与金融机构进行对接，增加财务科目和支出户、收入户等信息，实现新业态从业人员职业伤害保障相关待遇发放。</w:t>
      </w:r>
    </w:p>
    <w:p w14:paraId="73E762BE">
      <w:pPr>
        <w:pStyle w:val="13"/>
        <w:rPr>
          <w:rFonts w:hint="eastAsia"/>
          <w:lang w:eastAsia="zh-CN"/>
        </w:rPr>
      </w:pPr>
      <w:r>
        <w:rPr>
          <w:rFonts w:hint="eastAsia"/>
          <w:lang w:eastAsia="zh-CN"/>
        </w:rPr>
        <w:t>改造工伤联网结算平台，实现平台灵活就业人员能够在工伤协议医疗机构进行工伤医疗费联网即时结算、工伤医疗康复协议机构进行工伤康复费联网即时结算，工伤辅助器具配置协议机构进行工伤辅助器具配置费联网即时结算。</w:t>
      </w:r>
    </w:p>
    <w:p w14:paraId="6BEED3E3">
      <w:pPr>
        <w:pStyle w:val="13"/>
        <w:rPr>
          <w:rFonts w:hint="default" w:eastAsia="仿宋"/>
          <w:highlight w:val="none"/>
          <w:lang w:val="en-US" w:eastAsia="zh-CN"/>
        </w:rPr>
      </w:pPr>
      <w:r>
        <w:rPr>
          <w:rFonts w:hint="eastAsia"/>
          <w:lang w:eastAsia="zh-CN"/>
        </w:rPr>
        <w:t>改造贵州人社公共服务平台，面向平台灵活就业人员提供线上查询办理等“一网通办”服务。</w:t>
      </w:r>
    </w:p>
    <w:p w14:paraId="51B716AA">
      <w:pPr>
        <w:pStyle w:val="6"/>
        <w:numPr>
          <w:ilvl w:val="-1"/>
          <w:numId w:val="0"/>
        </w:numPr>
        <w:bidi w:val="0"/>
        <w:ind w:leftChars="200" w:firstLine="0" w:firstLineChars="0"/>
        <w:rPr>
          <w:rFonts w:hint="default"/>
          <w:lang w:val="en-US" w:eastAsia="zh-CN"/>
        </w:rPr>
      </w:pPr>
      <w:r>
        <w:rPr>
          <w:rFonts w:hint="eastAsia"/>
          <w:lang w:val="en-US" w:eastAsia="zh-CN"/>
        </w:rPr>
        <w:t>4.社会保险国产化应用系统改造</w:t>
      </w:r>
    </w:p>
    <w:p w14:paraId="6C0B51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与</w:t>
      </w:r>
      <w:r>
        <w:rPr>
          <w:rFonts w:hint="eastAsia" w:cs="仿宋_GB2312"/>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国产化数据迁移</w:t>
      </w:r>
      <w:r>
        <w:rPr>
          <w:rFonts w:hint="eastAsia" w:cs="仿宋_GB2312"/>
          <w:b w:val="0"/>
          <w:bCs w:val="0"/>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同步开展迁移、验证、上线等工作。</w:t>
      </w:r>
    </w:p>
    <w:p w14:paraId="616719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我省4套社保信息系统（分别为贵州省社会保险三险合一信息系统、</w:t>
      </w:r>
      <w:r>
        <w:rPr>
          <w:rFonts w:hint="eastAsia" w:cs="仿宋_GB2312"/>
          <w:strike w:val="0"/>
          <w:dstrike w:val="0"/>
          <w:color w:val="auto"/>
          <w:sz w:val="32"/>
          <w:szCs w:val="32"/>
          <w:lang w:val="en-US" w:eastAsia="zh-CN"/>
        </w:rPr>
        <w:t>贵州省机关保及职业年金系统</w:t>
      </w:r>
      <w:r>
        <w:rPr>
          <w:rFonts w:hint="eastAsia" w:ascii="仿宋_GB2312" w:hAnsi="仿宋_GB2312" w:eastAsia="仿宋_GB2312" w:cs="仿宋_GB2312"/>
          <w:strike w:val="0"/>
          <w:dstrike w:val="0"/>
          <w:color w:val="auto"/>
          <w:sz w:val="32"/>
          <w:szCs w:val="32"/>
          <w:lang w:val="en-US" w:eastAsia="zh-CN"/>
        </w:rPr>
        <w:t>、贵州省社会保险网上服务系统、贵州省社保基金财务管理系统）均具备整体迁移至贵州省政务云平台条件。本次改造工作主要涉及以下几个方面：</w:t>
      </w:r>
    </w:p>
    <w:p w14:paraId="491920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数据库适配。替换社保系统原Oracle数据库，开展常用国产化主流数据库选型适配，择优选择满足社保业务高并发、高稳定、高性能等要求的优秀国产数据库，借鉴行业成功经验，选择主流技术路线与可靠架构，确保项目平稳实施。</w:t>
      </w:r>
    </w:p>
    <w:p w14:paraId="7E1A191F">
      <w:pPr>
        <w:pStyle w:val="11"/>
        <w:rPr>
          <w:rFonts w:hint="eastAsia"/>
          <w:lang w:val="en-US" w:eastAsia="zh-CN"/>
        </w:rPr>
      </w:pPr>
      <w:r>
        <w:rPr>
          <w:rFonts w:hint="eastAsia"/>
          <w:lang w:val="en-US" w:eastAsia="zh-CN"/>
        </w:rPr>
        <w:t>中间件适配。替换原有的Oracle WebLogic中间件、完成数据格式适配、接口适配、性能优化等工作，同时需根据业务需求确定适配优先级，拟采用东方通、宝兰德、普元信息等国产中间件，确保其与国产操作系统、数据库等的兼容性。</w:t>
      </w:r>
    </w:p>
    <w:p w14:paraId="2C6C07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基础平台适配（硬件和操作系统）。依托贵州省政务云平台现有国产化资源，将我省社保系统应用软件、数据库等全面部署在贵州省政务云平台上，并适时开展适配工作。</w:t>
      </w:r>
    </w:p>
    <w:p w14:paraId="0D5F01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国密改造。在硬件部署、操作系统和数据库配置上，支持国产密码算法（如SM2/SM4）和安全组件的安装。开展功能测试、性能测试、安全测试，确保改造后的系统稳定、安全。</w:t>
      </w:r>
    </w:p>
    <w:p w14:paraId="452EE039">
      <w:pPr>
        <w:pStyle w:val="7"/>
        <w:numPr>
          <w:ilvl w:val="-1"/>
          <w:numId w:val="0"/>
        </w:numPr>
        <w:ind w:firstLine="643" w:firstLineChars="200"/>
        <w:rPr>
          <w:rFonts w:hint="eastAsia" w:cs="仿宋_GB2312"/>
          <w:color w:val="auto"/>
          <w:szCs w:val="32"/>
          <w:lang w:val="en-US" w:eastAsia="zh-CN"/>
        </w:rPr>
      </w:pPr>
      <w:r>
        <w:rPr>
          <w:rFonts w:hint="eastAsia" w:cs="仿宋_GB2312"/>
          <w:color w:val="auto"/>
          <w:szCs w:val="32"/>
          <w:lang w:val="en-US" w:eastAsia="zh-CN"/>
        </w:rPr>
        <w:t>（1）贵州省社会保险三险合一信息系统</w:t>
      </w:r>
    </w:p>
    <w:p w14:paraId="1124DAA0">
      <w:pPr>
        <w:pStyle w:val="8"/>
        <w:numPr>
          <w:ilvl w:val="-1"/>
          <w:numId w:val="0"/>
          <w:ins w:id="4" w:author="ysgz" w:date=""/>
        </w:numPr>
        <w:bidi w:val="0"/>
        <w:ind w:left="0" w:leftChars="0" w:firstLine="643" w:firstLineChars="200"/>
        <w:rPr>
          <w:rFonts w:hint="eastAsia"/>
          <w:lang w:val="en-US" w:eastAsia="zh-CN"/>
        </w:rPr>
      </w:pPr>
      <w:r>
        <w:rPr>
          <w:rFonts w:hint="eastAsia"/>
          <w:lang w:val="en-US" w:eastAsia="zh-CN"/>
        </w:rPr>
        <w:t>a.系统现状</w:t>
      </w:r>
    </w:p>
    <w:p w14:paraId="2E35480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应用服务器配置及数量描述</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924"/>
        <w:gridCol w:w="3113"/>
        <w:gridCol w:w="1747"/>
        <w:gridCol w:w="1238"/>
        <w:gridCol w:w="1478"/>
      </w:tblGrid>
      <w:tr w14:paraId="47E5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single" w:color="000000" w:sz="8" w:space="0"/>
              <w:left w:val="single" w:color="000000" w:sz="8" w:space="0"/>
              <w:bottom w:val="single" w:color="000000" w:sz="8" w:space="0"/>
              <w:right w:val="single" w:color="000000" w:sz="8" w:space="0"/>
            </w:tcBorders>
            <w:shd w:val="clear" w:color="auto" w:fill="auto"/>
            <w:vAlign w:val="top"/>
          </w:tcPr>
          <w:p w14:paraId="0880ED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510" w:type="pct"/>
            <w:tcBorders>
              <w:top w:val="single" w:color="000000" w:sz="8" w:space="0"/>
              <w:left w:val="nil"/>
              <w:bottom w:val="single" w:color="000000" w:sz="8" w:space="0"/>
              <w:right w:val="single" w:color="000000" w:sz="8" w:space="0"/>
            </w:tcBorders>
            <w:shd w:val="clear" w:color="auto" w:fill="auto"/>
            <w:vAlign w:val="top"/>
          </w:tcPr>
          <w:p w14:paraId="270880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数量（台）</w:t>
            </w:r>
          </w:p>
        </w:tc>
        <w:tc>
          <w:tcPr>
            <w:tcW w:w="1718" w:type="pct"/>
            <w:tcBorders>
              <w:top w:val="single" w:color="000000" w:sz="8" w:space="0"/>
              <w:left w:val="nil"/>
              <w:bottom w:val="single" w:color="000000" w:sz="8" w:space="0"/>
              <w:right w:val="single" w:color="000000" w:sz="8" w:space="0"/>
            </w:tcBorders>
            <w:shd w:val="clear" w:color="auto" w:fill="auto"/>
            <w:vAlign w:val="top"/>
          </w:tcPr>
          <w:p w14:paraId="0AFB4A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配置</w:t>
            </w:r>
          </w:p>
        </w:tc>
        <w:tc>
          <w:tcPr>
            <w:tcW w:w="964" w:type="pct"/>
            <w:tcBorders>
              <w:top w:val="single" w:color="000000" w:sz="8" w:space="0"/>
              <w:left w:val="nil"/>
              <w:bottom w:val="single" w:color="000000" w:sz="8" w:space="0"/>
              <w:right w:val="single" w:color="000000" w:sz="8" w:space="0"/>
            </w:tcBorders>
            <w:shd w:val="clear" w:color="auto" w:fill="auto"/>
            <w:vAlign w:val="top"/>
          </w:tcPr>
          <w:p w14:paraId="41174E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部署区域</w:t>
            </w:r>
          </w:p>
        </w:tc>
        <w:tc>
          <w:tcPr>
            <w:tcW w:w="683" w:type="pct"/>
            <w:tcBorders>
              <w:top w:val="single" w:color="000000" w:sz="8" w:space="0"/>
              <w:left w:val="nil"/>
              <w:bottom w:val="single" w:color="000000" w:sz="8" w:space="0"/>
              <w:right w:val="single" w:color="000000" w:sz="8" w:space="0"/>
            </w:tcBorders>
            <w:shd w:val="clear" w:color="auto" w:fill="auto"/>
            <w:vAlign w:val="top"/>
          </w:tcPr>
          <w:p w14:paraId="6CC752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运行网络</w:t>
            </w:r>
          </w:p>
        </w:tc>
        <w:tc>
          <w:tcPr>
            <w:tcW w:w="816" w:type="pct"/>
            <w:tcBorders>
              <w:top w:val="single" w:color="000000" w:sz="8" w:space="0"/>
              <w:left w:val="nil"/>
              <w:bottom w:val="single" w:color="000000" w:sz="8" w:space="0"/>
              <w:right w:val="single" w:color="000000" w:sz="8" w:space="0"/>
            </w:tcBorders>
            <w:shd w:val="clear" w:color="auto" w:fill="auto"/>
            <w:vAlign w:val="top"/>
          </w:tcPr>
          <w:p w14:paraId="1D6EB9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14:paraId="210C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69CEC7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510" w:type="pct"/>
            <w:tcBorders>
              <w:top w:val="nil"/>
              <w:left w:val="nil"/>
              <w:bottom w:val="single" w:color="000000" w:sz="8" w:space="0"/>
              <w:right w:val="single" w:color="000000" w:sz="8" w:space="0"/>
            </w:tcBorders>
            <w:shd w:val="clear" w:color="auto" w:fill="auto"/>
            <w:vAlign w:val="top"/>
          </w:tcPr>
          <w:p w14:paraId="417ABB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1718" w:type="pct"/>
            <w:tcBorders>
              <w:top w:val="nil"/>
              <w:left w:val="nil"/>
              <w:bottom w:val="single" w:color="000000" w:sz="8" w:space="0"/>
              <w:right w:val="single" w:color="000000" w:sz="8" w:space="0"/>
            </w:tcBorders>
            <w:shd w:val="clear" w:color="auto" w:fill="auto"/>
            <w:vAlign w:val="top"/>
          </w:tcPr>
          <w:p w14:paraId="2B04A2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CPU:16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14:paraId="5EE5E5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restart"/>
            <w:tcBorders>
              <w:top w:val="nil"/>
              <w:left w:val="nil"/>
              <w:right w:val="single" w:color="000000" w:sz="8" w:space="0"/>
            </w:tcBorders>
            <w:shd w:val="clear" w:color="auto" w:fill="auto"/>
            <w:vAlign w:val="top"/>
          </w:tcPr>
          <w:p w14:paraId="36B0C7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金保网/电子政务外网</w:t>
            </w:r>
          </w:p>
        </w:tc>
        <w:tc>
          <w:tcPr>
            <w:tcW w:w="816" w:type="pct"/>
            <w:vMerge w:val="restart"/>
            <w:tcBorders>
              <w:top w:val="nil"/>
              <w:left w:val="nil"/>
              <w:bottom w:val="single" w:color="000000" w:sz="8" w:space="0"/>
              <w:right w:val="single" w:color="000000" w:sz="8" w:space="0"/>
            </w:tcBorders>
            <w:shd w:val="clear" w:color="auto" w:fill="auto"/>
            <w:vAlign w:val="top"/>
          </w:tcPr>
          <w:p w14:paraId="66E00B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部下发业务中台、省级业务中台、贵州省三险合一社会保险信息系统及各支撑系统</w:t>
            </w:r>
          </w:p>
        </w:tc>
      </w:tr>
      <w:tr w14:paraId="56DC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09DCD2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510" w:type="pct"/>
            <w:tcBorders>
              <w:top w:val="nil"/>
              <w:left w:val="nil"/>
              <w:bottom w:val="single" w:color="000000" w:sz="8" w:space="0"/>
              <w:right w:val="single" w:color="000000" w:sz="8" w:space="0"/>
            </w:tcBorders>
            <w:shd w:val="clear" w:color="auto" w:fill="auto"/>
            <w:vAlign w:val="top"/>
          </w:tcPr>
          <w:p w14:paraId="6D5935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718" w:type="pct"/>
            <w:tcBorders>
              <w:top w:val="nil"/>
              <w:left w:val="nil"/>
              <w:bottom w:val="single" w:color="000000" w:sz="8" w:space="0"/>
              <w:right w:val="single" w:color="000000" w:sz="8" w:space="0"/>
            </w:tcBorders>
            <w:shd w:val="clear" w:color="auto" w:fill="auto"/>
            <w:vAlign w:val="top"/>
          </w:tcPr>
          <w:p w14:paraId="772B1D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CPU:16 核；内存：32 GB；磁盘：60 GB；存储：200 GB</w:t>
            </w:r>
          </w:p>
        </w:tc>
        <w:tc>
          <w:tcPr>
            <w:tcW w:w="964" w:type="pct"/>
            <w:tcBorders>
              <w:top w:val="nil"/>
              <w:left w:val="nil"/>
              <w:bottom w:val="single" w:color="000000" w:sz="8" w:space="0"/>
              <w:right w:val="single" w:color="000000" w:sz="8" w:space="0"/>
            </w:tcBorders>
            <w:shd w:val="clear" w:color="auto" w:fill="auto"/>
            <w:vAlign w:val="top"/>
          </w:tcPr>
          <w:p w14:paraId="1470E0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544B93DC">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13E80ADB">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617E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5B3209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510" w:type="pct"/>
            <w:tcBorders>
              <w:top w:val="nil"/>
              <w:left w:val="nil"/>
              <w:bottom w:val="single" w:color="000000" w:sz="8" w:space="0"/>
              <w:right w:val="single" w:color="000000" w:sz="8" w:space="0"/>
            </w:tcBorders>
            <w:shd w:val="clear" w:color="auto" w:fill="auto"/>
            <w:vAlign w:val="top"/>
          </w:tcPr>
          <w:p w14:paraId="1AC780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14:paraId="1BF385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CPU:16 核；内存：64 GB；磁盘：100 GB；存储：1100 GB</w:t>
            </w:r>
          </w:p>
        </w:tc>
        <w:tc>
          <w:tcPr>
            <w:tcW w:w="964" w:type="pct"/>
            <w:tcBorders>
              <w:top w:val="nil"/>
              <w:left w:val="nil"/>
              <w:bottom w:val="single" w:color="000000" w:sz="8" w:space="0"/>
              <w:right w:val="single" w:color="000000" w:sz="8" w:space="0"/>
            </w:tcBorders>
            <w:shd w:val="clear" w:color="auto" w:fill="auto"/>
            <w:vAlign w:val="top"/>
          </w:tcPr>
          <w:p w14:paraId="600DA8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05C56155">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49EBA43E">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132D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1239DC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510" w:type="pct"/>
            <w:tcBorders>
              <w:top w:val="nil"/>
              <w:left w:val="nil"/>
              <w:bottom w:val="single" w:color="000000" w:sz="8" w:space="0"/>
              <w:right w:val="single" w:color="000000" w:sz="8" w:space="0"/>
            </w:tcBorders>
            <w:shd w:val="clear" w:color="auto" w:fill="auto"/>
            <w:vAlign w:val="top"/>
          </w:tcPr>
          <w:p w14:paraId="5E5458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40</w:t>
            </w:r>
          </w:p>
        </w:tc>
        <w:tc>
          <w:tcPr>
            <w:tcW w:w="1718" w:type="pct"/>
            <w:tcBorders>
              <w:top w:val="nil"/>
              <w:left w:val="nil"/>
              <w:bottom w:val="single" w:color="000000" w:sz="8" w:space="0"/>
              <w:right w:val="single" w:color="000000" w:sz="8" w:space="0"/>
            </w:tcBorders>
            <w:shd w:val="clear" w:color="auto" w:fill="auto"/>
            <w:vAlign w:val="top"/>
          </w:tcPr>
          <w:p w14:paraId="2D46D8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CPU:16 核；内存：64 GB；磁盘：100 GB；存储：200 GB</w:t>
            </w:r>
          </w:p>
        </w:tc>
        <w:tc>
          <w:tcPr>
            <w:tcW w:w="964" w:type="pct"/>
            <w:tcBorders>
              <w:top w:val="nil"/>
              <w:left w:val="nil"/>
              <w:bottom w:val="single" w:color="000000" w:sz="8" w:space="0"/>
              <w:right w:val="single" w:color="000000" w:sz="8" w:space="0"/>
            </w:tcBorders>
            <w:shd w:val="clear" w:color="auto" w:fill="auto"/>
            <w:vAlign w:val="top"/>
          </w:tcPr>
          <w:p w14:paraId="290D8F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2ADCDA1B">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5E028665">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3C85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4DC62A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510" w:type="pct"/>
            <w:tcBorders>
              <w:top w:val="nil"/>
              <w:left w:val="nil"/>
              <w:bottom w:val="single" w:color="000000" w:sz="8" w:space="0"/>
              <w:right w:val="single" w:color="000000" w:sz="8" w:space="0"/>
            </w:tcBorders>
            <w:shd w:val="clear" w:color="auto" w:fill="auto"/>
            <w:vAlign w:val="top"/>
          </w:tcPr>
          <w:p w14:paraId="1326BF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14:paraId="116B00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CPU:32 核；内存：128 GB；磁盘：100 GB；存储：2000 GB</w:t>
            </w:r>
          </w:p>
        </w:tc>
        <w:tc>
          <w:tcPr>
            <w:tcW w:w="964" w:type="pct"/>
            <w:tcBorders>
              <w:top w:val="nil"/>
              <w:left w:val="nil"/>
              <w:bottom w:val="single" w:color="000000" w:sz="8" w:space="0"/>
              <w:right w:val="single" w:color="000000" w:sz="8" w:space="0"/>
            </w:tcBorders>
            <w:shd w:val="clear" w:color="auto" w:fill="auto"/>
            <w:vAlign w:val="top"/>
          </w:tcPr>
          <w:p w14:paraId="37E703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5711DD22">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56470C4B">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6EFD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1D96C6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510" w:type="pct"/>
            <w:tcBorders>
              <w:top w:val="nil"/>
              <w:left w:val="nil"/>
              <w:bottom w:val="single" w:color="000000" w:sz="8" w:space="0"/>
              <w:right w:val="single" w:color="000000" w:sz="8" w:space="0"/>
            </w:tcBorders>
            <w:shd w:val="clear" w:color="auto" w:fill="auto"/>
            <w:vAlign w:val="top"/>
          </w:tcPr>
          <w:p w14:paraId="69CE1B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1718" w:type="pct"/>
            <w:tcBorders>
              <w:top w:val="nil"/>
              <w:left w:val="nil"/>
              <w:bottom w:val="single" w:color="000000" w:sz="8" w:space="0"/>
              <w:right w:val="single" w:color="000000" w:sz="8" w:space="0"/>
            </w:tcBorders>
            <w:shd w:val="clear" w:color="auto" w:fill="auto"/>
            <w:vAlign w:val="top"/>
          </w:tcPr>
          <w:p w14:paraId="2C6E80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CPU:32 核；内存：64 GB；磁盘：100 GB；存储：200 GB</w:t>
            </w:r>
          </w:p>
        </w:tc>
        <w:tc>
          <w:tcPr>
            <w:tcW w:w="964" w:type="pct"/>
            <w:tcBorders>
              <w:top w:val="nil"/>
              <w:left w:val="nil"/>
              <w:bottom w:val="single" w:color="000000" w:sz="8" w:space="0"/>
              <w:right w:val="single" w:color="000000" w:sz="8" w:space="0"/>
            </w:tcBorders>
            <w:shd w:val="clear" w:color="auto" w:fill="auto"/>
            <w:vAlign w:val="top"/>
          </w:tcPr>
          <w:p w14:paraId="1A98A2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29C74511">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20AC49B6">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586B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4A25D7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510" w:type="pct"/>
            <w:tcBorders>
              <w:top w:val="nil"/>
              <w:left w:val="nil"/>
              <w:bottom w:val="single" w:color="000000" w:sz="8" w:space="0"/>
              <w:right w:val="single" w:color="000000" w:sz="8" w:space="0"/>
            </w:tcBorders>
            <w:shd w:val="clear" w:color="auto" w:fill="auto"/>
            <w:vAlign w:val="top"/>
          </w:tcPr>
          <w:p w14:paraId="0C3582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718" w:type="pct"/>
            <w:tcBorders>
              <w:top w:val="nil"/>
              <w:left w:val="nil"/>
              <w:bottom w:val="single" w:color="000000" w:sz="8" w:space="0"/>
              <w:right w:val="single" w:color="000000" w:sz="8" w:space="0"/>
            </w:tcBorders>
            <w:shd w:val="clear" w:color="auto" w:fill="auto"/>
            <w:vAlign w:val="top"/>
          </w:tcPr>
          <w:p w14:paraId="011C75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 核；内存：32 GB；磁盘：100 GB；存储：1100 GB</w:t>
            </w:r>
          </w:p>
        </w:tc>
        <w:tc>
          <w:tcPr>
            <w:tcW w:w="964" w:type="pct"/>
            <w:tcBorders>
              <w:top w:val="nil"/>
              <w:left w:val="nil"/>
              <w:bottom w:val="single" w:color="000000" w:sz="8" w:space="0"/>
              <w:right w:val="single" w:color="000000" w:sz="8" w:space="0"/>
            </w:tcBorders>
            <w:shd w:val="clear" w:color="auto" w:fill="auto"/>
            <w:vAlign w:val="top"/>
          </w:tcPr>
          <w:p w14:paraId="477B35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19171ACF">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5D425DDD">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249A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617D57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510" w:type="pct"/>
            <w:tcBorders>
              <w:top w:val="nil"/>
              <w:left w:val="nil"/>
              <w:bottom w:val="single" w:color="000000" w:sz="8" w:space="0"/>
              <w:right w:val="single" w:color="000000" w:sz="8" w:space="0"/>
            </w:tcBorders>
            <w:shd w:val="clear" w:color="auto" w:fill="auto"/>
            <w:vAlign w:val="top"/>
          </w:tcPr>
          <w:p w14:paraId="775116B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718" w:type="pct"/>
            <w:tcBorders>
              <w:top w:val="nil"/>
              <w:left w:val="nil"/>
              <w:bottom w:val="single" w:color="000000" w:sz="8" w:space="0"/>
              <w:right w:val="single" w:color="000000" w:sz="8" w:space="0"/>
            </w:tcBorders>
            <w:shd w:val="clear" w:color="auto" w:fill="auto"/>
            <w:vAlign w:val="top"/>
          </w:tcPr>
          <w:p w14:paraId="54E9BC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14:paraId="1FBD0B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22E520FB">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510F1AD6">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4FE0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60F005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510" w:type="pct"/>
            <w:tcBorders>
              <w:top w:val="nil"/>
              <w:left w:val="nil"/>
              <w:bottom w:val="single" w:color="000000" w:sz="8" w:space="0"/>
              <w:right w:val="single" w:color="000000" w:sz="8" w:space="0"/>
            </w:tcBorders>
            <w:shd w:val="clear" w:color="auto" w:fill="auto"/>
            <w:vAlign w:val="top"/>
          </w:tcPr>
          <w:p w14:paraId="1ED8085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14:paraId="7E7214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 核；内存：32 GB；磁盘：100 GB；存储：500 GB</w:t>
            </w:r>
          </w:p>
        </w:tc>
        <w:tc>
          <w:tcPr>
            <w:tcW w:w="964" w:type="pct"/>
            <w:tcBorders>
              <w:top w:val="nil"/>
              <w:left w:val="nil"/>
              <w:bottom w:val="single" w:color="000000" w:sz="8" w:space="0"/>
              <w:right w:val="single" w:color="000000" w:sz="8" w:space="0"/>
            </w:tcBorders>
            <w:shd w:val="clear" w:color="auto" w:fill="auto"/>
            <w:vAlign w:val="top"/>
          </w:tcPr>
          <w:p w14:paraId="3636CD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0D9ED30E">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53AE48ED">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0746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78DE26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510" w:type="pct"/>
            <w:tcBorders>
              <w:top w:val="nil"/>
              <w:left w:val="nil"/>
              <w:bottom w:val="single" w:color="000000" w:sz="8" w:space="0"/>
              <w:right w:val="single" w:color="000000" w:sz="8" w:space="0"/>
            </w:tcBorders>
            <w:shd w:val="clear" w:color="auto" w:fill="auto"/>
            <w:vAlign w:val="top"/>
          </w:tcPr>
          <w:p w14:paraId="506FAB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718" w:type="pct"/>
            <w:tcBorders>
              <w:top w:val="nil"/>
              <w:left w:val="nil"/>
              <w:bottom w:val="single" w:color="000000" w:sz="8" w:space="0"/>
              <w:right w:val="single" w:color="000000" w:sz="8" w:space="0"/>
            </w:tcBorders>
            <w:shd w:val="clear" w:color="auto" w:fill="auto"/>
            <w:vAlign w:val="top"/>
          </w:tcPr>
          <w:p w14:paraId="080D8E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GB；存储：6600 GB</w:t>
            </w:r>
          </w:p>
        </w:tc>
        <w:tc>
          <w:tcPr>
            <w:tcW w:w="964" w:type="pct"/>
            <w:tcBorders>
              <w:top w:val="nil"/>
              <w:left w:val="nil"/>
              <w:bottom w:val="single" w:color="000000" w:sz="8" w:space="0"/>
              <w:right w:val="single" w:color="000000" w:sz="8" w:space="0"/>
            </w:tcBorders>
            <w:shd w:val="clear" w:color="auto" w:fill="auto"/>
            <w:vAlign w:val="top"/>
          </w:tcPr>
          <w:p w14:paraId="54D469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63E4B01C">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52C2DD4A">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3A40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3AB9D9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510" w:type="pct"/>
            <w:tcBorders>
              <w:top w:val="nil"/>
              <w:left w:val="nil"/>
              <w:bottom w:val="single" w:color="000000" w:sz="8" w:space="0"/>
              <w:right w:val="single" w:color="000000" w:sz="8" w:space="0"/>
            </w:tcBorders>
            <w:shd w:val="clear" w:color="auto" w:fill="auto"/>
            <w:vAlign w:val="top"/>
          </w:tcPr>
          <w:p w14:paraId="0F2BC4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14:paraId="3113011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 核；内存：32 GB；磁盘：100 GB；存储：8000 GB</w:t>
            </w:r>
          </w:p>
        </w:tc>
        <w:tc>
          <w:tcPr>
            <w:tcW w:w="964" w:type="pct"/>
            <w:tcBorders>
              <w:top w:val="nil"/>
              <w:left w:val="nil"/>
              <w:bottom w:val="single" w:color="000000" w:sz="8" w:space="0"/>
              <w:right w:val="single" w:color="000000" w:sz="8" w:space="0"/>
            </w:tcBorders>
            <w:shd w:val="clear" w:color="auto" w:fill="auto"/>
            <w:vAlign w:val="top"/>
          </w:tcPr>
          <w:p w14:paraId="45D8A8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7FBEB541">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vMerge w:val="continue"/>
            <w:tcBorders>
              <w:top w:val="nil"/>
              <w:left w:val="nil"/>
              <w:bottom w:val="single" w:color="000000" w:sz="8" w:space="0"/>
              <w:right w:val="single" w:color="000000" w:sz="8" w:space="0"/>
            </w:tcBorders>
            <w:shd w:val="clear" w:color="auto" w:fill="auto"/>
            <w:vAlign w:val="top"/>
          </w:tcPr>
          <w:p w14:paraId="7AC859B9">
            <w:pPr>
              <w:keepNext w:val="0"/>
              <w:keepLines w:val="0"/>
              <w:pageBreakBefore w:val="0"/>
              <w:widowControl/>
              <w:kinsoku/>
              <w:wordWrap/>
              <w:overflowPunct/>
              <w:topLinePunct w:val="0"/>
              <w:autoSpaceDE/>
              <w:autoSpaceDN/>
              <w:bidi w:val="0"/>
              <w:adjustRightInd w:val="0"/>
              <w:snapToGrid w:val="0"/>
              <w:jc w:val="both"/>
              <w:rPr>
                <w:rFonts w:hint="eastAsia" w:ascii="仿宋_GB2312" w:hAnsi="宋体" w:eastAsia="仿宋_GB2312" w:cs="仿宋_GB2312"/>
                <w:i w:val="0"/>
                <w:iCs w:val="0"/>
                <w:color w:val="000000"/>
                <w:sz w:val="28"/>
                <w:szCs w:val="28"/>
                <w:u w:val="none"/>
              </w:rPr>
            </w:pPr>
          </w:p>
        </w:tc>
      </w:tr>
      <w:tr w14:paraId="59C2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311373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510" w:type="pct"/>
            <w:tcBorders>
              <w:top w:val="nil"/>
              <w:left w:val="nil"/>
              <w:bottom w:val="single" w:color="000000" w:sz="8" w:space="0"/>
              <w:right w:val="single" w:color="000000" w:sz="8" w:space="0"/>
            </w:tcBorders>
            <w:shd w:val="clear" w:color="auto" w:fill="auto"/>
            <w:vAlign w:val="top"/>
          </w:tcPr>
          <w:p w14:paraId="00DB0FB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14:paraId="0A6786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16 核；内存：32 GB；磁盘：60 GB；存储：10240 GB</w:t>
            </w:r>
          </w:p>
        </w:tc>
        <w:tc>
          <w:tcPr>
            <w:tcW w:w="964" w:type="pct"/>
            <w:tcBorders>
              <w:top w:val="nil"/>
              <w:left w:val="nil"/>
              <w:bottom w:val="single" w:color="000000" w:sz="8" w:space="0"/>
              <w:right w:val="single" w:color="000000" w:sz="8" w:space="0"/>
            </w:tcBorders>
            <w:shd w:val="clear" w:color="auto" w:fill="auto"/>
            <w:vAlign w:val="top"/>
          </w:tcPr>
          <w:p w14:paraId="7C3CE6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3BC4BC36">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14:paraId="6E5C9F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迪思杰数据同步软件</w:t>
            </w:r>
          </w:p>
        </w:tc>
      </w:tr>
      <w:tr w14:paraId="3E7F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33E708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510" w:type="pct"/>
            <w:tcBorders>
              <w:top w:val="nil"/>
              <w:left w:val="nil"/>
              <w:bottom w:val="single" w:color="000000" w:sz="8" w:space="0"/>
              <w:right w:val="single" w:color="000000" w:sz="8" w:space="0"/>
            </w:tcBorders>
            <w:shd w:val="clear" w:color="auto" w:fill="auto"/>
            <w:vAlign w:val="top"/>
          </w:tcPr>
          <w:p w14:paraId="7F01EC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14:paraId="3F18D07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GB；存储：1000 GB</w:t>
            </w:r>
          </w:p>
        </w:tc>
        <w:tc>
          <w:tcPr>
            <w:tcW w:w="964" w:type="pct"/>
            <w:tcBorders>
              <w:top w:val="nil"/>
              <w:left w:val="nil"/>
              <w:bottom w:val="single" w:color="000000" w:sz="8" w:space="0"/>
              <w:right w:val="single" w:color="000000" w:sz="8" w:space="0"/>
            </w:tcBorders>
            <w:shd w:val="clear" w:color="auto" w:fill="auto"/>
            <w:vAlign w:val="top"/>
          </w:tcPr>
          <w:p w14:paraId="781F8C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4D23ACA6">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14:paraId="6D0C3B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minio对象存储</w:t>
            </w:r>
            <w:r>
              <w:rPr>
                <w:rFonts w:hint="eastAsia" w:hAnsi="宋体" w:cs="仿宋_GB2312"/>
                <w:i w:val="0"/>
                <w:iCs w:val="0"/>
                <w:color w:val="000000"/>
                <w:kern w:val="0"/>
                <w:sz w:val="28"/>
                <w:szCs w:val="28"/>
                <w:u w:val="none"/>
                <w:lang w:val="en-US" w:eastAsia="zh-CN" w:bidi="ar"/>
              </w:rPr>
              <w:t>（</w:t>
            </w:r>
            <w:r>
              <w:rPr>
                <w:rFonts w:hint="eastAsia" w:ascii="仿宋_GB2312" w:hAnsi="宋体" w:eastAsia="仿宋_GB2312" w:cs="仿宋_GB2312"/>
                <w:i w:val="0"/>
                <w:iCs w:val="0"/>
                <w:color w:val="000000"/>
                <w:kern w:val="0"/>
                <w:sz w:val="28"/>
                <w:szCs w:val="28"/>
                <w:u w:val="none"/>
                <w:lang w:val="en-US" w:eastAsia="zh-CN" w:bidi="ar"/>
              </w:rPr>
              <w:t>测试</w:t>
            </w:r>
            <w:r>
              <w:rPr>
                <w:rFonts w:hint="eastAsia" w:hAnsi="宋体" w:cs="仿宋_GB2312"/>
                <w:i w:val="0"/>
                <w:iCs w:val="0"/>
                <w:color w:val="000000"/>
                <w:kern w:val="0"/>
                <w:sz w:val="28"/>
                <w:szCs w:val="28"/>
                <w:u w:val="none"/>
                <w:lang w:val="en-US" w:eastAsia="zh-CN" w:bidi="ar"/>
              </w:rPr>
              <w:t>）</w:t>
            </w:r>
          </w:p>
        </w:tc>
      </w:tr>
      <w:tr w14:paraId="6B08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078130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510" w:type="pct"/>
            <w:tcBorders>
              <w:top w:val="nil"/>
              <w:left w:val="nil"/>
              <w:bottom w:val="single" w:color="000000" w:sz="8" w:space="0"/>
              <w:right w:val="single" w:color="000000" w:sz="8" w:space="0"/>
            </w:tcBorders>
            <w:shd w:val="clear" w:color="auto" w:fill="auto"/>
            <w:vAlign w:val="top"/>
          </w:tcPr>
          <w:p w14:paraId="56B8B1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718" w:type="pct"/>
            <w:tcBorders>
              <w:top w:val="nil"/>
              <w:left w:val="nil"/>
              <w:bottom w:val="single" w:color="000000" w:sz="8" w:space="0"/>
              <w:right w:val="single" w:color="000000" w:sz="8" w:space="0"/>
            </w:tcBorders>
            <w:shd w:val="clear" w:color="auto" w:fill="auto"/>
            <w:vAlign w:val="top"/>
          </w:tcPr>
          <w:p w14:paraId="0E8914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GB；存储：8000 GB</w:t>
            </w:r>
          </w:p>
        </w:tc>
        <w:tc>
          <w:tcPr>
            <w:tcW w:w="964" w:type="pct"/>
            <w:tcBorders>
              <w:top w:val="nil"/>
              <w:left w:val="nil"/>
              <w:bottom w:val="single" w:color="000000" w:sz="8" w:space="0"/>
              <w:right w:val="single" w:color="000000" w:sz="8" w:space="0"/>
            </w:tcBorders>
            <w:shd w:val="clear" w:color="auto" w:fill="auto"/>
            <w:vAlign w:val="top"/>
          </w:tcPr>
          <w:p w14:paraId="2E6A5F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0D37D964">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14:paraId="50D683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minio对象存储（生产）</w:t>
            </w:r>
          </w:p>
        </w:tc>
      </w:tr>
      <w:tr w14:paraId="43DD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612913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510" w:type="pct"/>
            <w:tcBorders>
              <w:top w:val="nil"/>
              <w:left w:val="nil"/>
              <w:bottom w:val="single" w:color="000000" w:sz="8" w:space="0"/>
              <w:right w:val="single" w:color="000000" w:sz="8" w:space="0"/>
            </w:tcBorders>
            <w:shd w:val="clear" w:color="auto" w:fill="auto"/>
            <w:vAlign w:val="top"/>
          </w:tcPr>
          <w:p w14:paraId="0231B4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718" w:type="pct"/>
            <w:tcBorders>
              <w:top w:val="nil"/>
              <w:left w:val="nil"/>
              <w:bottom w:val="single" w:color="000000" w:sz="8" w:space="0"/>
              <w:right w:val="single" w:color="000000" w:sz="8" w:space="0"/>
            </w:tcBorders>
            <w:shd w:val="clear" w:color="auto" w:fill="auto"/>
            <w:vAlign w:val="top"/>
          </w:tcPr>
          <w:p w14:paraId="149F34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92 核；内存：512 GB；存储：40TB</w:t>
            </w:r>
          </w:p>
        </w:tc>
        <w:tc>
          <w:tcPr>
            <w:tcW w:w="964" w:type="pct"/>
            <w:tcBorders>
              <w:top w:val="nil"/>
              <w:left w:val="nil"/>
              <w:bottom w:val="single" w:color="000000" w:sz="8" w:space="0"/>
              <w:right w:val="single" w:color="000000" w:sz="8" w:space="0"/>
            </w:tcBorders>
            <w:shd w:val="clear" w:color="auto" w:fill="auto"/>
            <w:vAlign w:val="top"/>
          </w:tcPr>
          <w:p w14:paraId="084C59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4A8563FE">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14:paraId="05DEF4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GreenPlum数据库</w:t>
            </w:r>
          </w:p>
        </w:tc>
      </w:tr>
      <w:tr w14:paraId="72DE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287221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510" w:type="pct"/>
            <w:tcBorders>
              <w:top w:val="nil"/>
              <w:left w:val="nil"/>
              <w:bottom w:val="single" w:color="000000" w:sz="8" w:space="0"/>
              <w:right w:val="single" w:color="000000" w:sz="8" w:space="0"/>
            </w:tcBorders>
            <w:shd w:val="clear" w:color="auto" w:fill="auto"/>
            <w:vAlign w:val="top"/>
          </w:tcPr>
          <w:p w14:paraId="183855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718" w:type="pct"/>
            <w:tcBorders>
              <w:top w:val="nil"/>
              <w:left w:val="nil"/>
              <w:bottom w:val="single" w:color="000000" w:sz="8" w:space="0"/>
              <w:right w:val="single" w:color="000000" w:sz="8" w:space="0"/>
            </w:tcBorders>
            <w:shd w:val="clear" w:color="auto" w:fill="auto"/>
            <w:vAlign w:val="top"/>
          </w:tcPr>
          <w:p w14:paraId="17947F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14:paraId="5FC575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人社厅数据中心</w:t>
            </w:r>
          </w:p>
        </w:tc>
        <w:tc>
          <w:tcPr>
            <w:tcW w:w="683" w:type="pct"/>
            <w:vMerge w:val="continue"/>
            <w:tcBorders>
              <w:left w:val="nil"/>
              <w:right w:val="single" w:color="000000" w:sz="8" w:space="0"/>
            </w:tcBorders>
            <w:shd w:val="clear" w:color="auto" w:fill="auto"/>
            <w:vAlign w:val="top"/>
          </w:tcPr>
          <w:p w14:paraId="564DEB5D">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14:paraId="75D6A6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社银一体化</w:t>
            </w:r>
          </w:p>
        </w:tc>
      </w:tr>
      <w:tr w14:paraId="4000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6E5904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510" w:type="pct"/>
            <w:tcBorders>
              <w:top w:val="nil"/>
              <w:left w:val="nil"/>
              <w:bottom w:val="single" w:color="000000" w:sz="8" w:space="0"/>
              <w:right w:val="single" w:color="000000" w:sz="8" w:space="0"/>
            </w:tcBorders>
            <w:shd w:val="clear" w:color="auto" w:fill="auto"/>
            <w:vAlign w:val="top"/>
          </w:tcPr>
          <w:p w14:paraId="239C58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14:paraId="5E2CF7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14:paraId="3CC9D4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3F2003FE">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top"/>
          </w:tcPr>
          <w:p w14:paraId="00B5D3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贵州省人力资源社会保障电子印章管理信息系统</w:t>
            </w:r>
          </w:p>
        </w:tc>
      </w:tr>
      <w:tr w14:paraId="74B2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181FD8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510" w:type="pct"/>
            <w:tcBorders>
              <w:top w:val="nil"/>
              <w:left w:val="nil"/>
              <w:bottom w:val="single" w:color="000000" w:sz="8" w:space="0"/>
              <w:right w:val="single" w:color="000000" w:sz="8" w:space="0"/>
            </w:tcBorders>
            <w:shd w:val="clear" w:color="auto" w:fill="auto"/>
            <w:vAlign w:val="top"/>
          </w:tcPr>
          <w:p w14:paraId="02BC0B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718" w:type="pct"/>
            <w:tcBorders>
              <w:top w:val="nil"/>
              <w:left w:val="nil"/>
              <w:bottom w:val="single" w:color="000000" w:sz="8" w:space="0"/>
              <w:right w:val="single" w:color="000000" w:sz="8" w:space="0"/>
            </w:tcBorders>
            <w:shd w:val="clear" w:color="auto" w:fill="auto"/>
            <w:vAlign w:val="top"/>
          </w:tcPr>
          <w:p w14:paraId="02D1D4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14:paraId="115372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right w:val="single" w:color="000000" w:sz="8" w:space="0"/>
            </w:tcBorders>
            <w:shd w:val="clear" w:color="auto" w:fill="auto"/>
            <w:vAlign w:val="top"/>
          </w:tcPr>
          <w:p w14:paraId="746C2B74">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center"/>
          </w:tcPr>
          <w:p w14:paraId="72E85D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贵州省社会保险事业局异地业务协同平台</w:t>
            </w:r>
          </w:p>
        </w:tc>
      </w:tr>
      <w:tr w14:paraId="3081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6DFF1A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w:t>
            </w:r>
          </w:p>
        </w:tc>
        <w:tc>
          <w:tcPr>
            <w:tcW w:w="510" w:type="pct"/>
            <w:tcBorders>
              <w:top w:val="nil"/>
              <w:left w:val="nil"/>
              <w:bottom w:val="single" w:color="000000" w:sz="8" w:space="0"/>
              <w:right w:val="single" w:color="000000" w:sz="8" w:space="0"/>
            </w:tcBorders>
            <w:shd w:val="clear" w:color="auto" w:fill="auto"/>
            <w:vAlign w:val="top"/>
          </w:tcPr>
          <w:p w14:paraId="26D67D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718" w:type="pct"/>
            <w:tcBorders>
              <w:top w:val="nil"/>
              <w:left w:val="nil"/>
              <w:bottom w:val="single" w:color="000000" w:sz="8" w:space="0"/>
              <w:right w:val="single" w:color="000000" w:sz="8" w:space="0"/>
            </w:tcBorders>
            <w:shd w:val="clear" w:color="auto" w:fill="auto"/>
            <w:vAlign w:val="top"/>
          </w:tcPr>
          <w:p w14:paraId="62E7AA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核；内存：32 GB；磁盘：100 GB；存储：200 GB</w:t>
            </w:r>
          </w:p>
        </w:tc>
        <w:tc>
          <w:tcPr>
            <w:tcW w:w="964" w:type="pct"/>
            <w:tcBorders>
              <w:top w:val="nil"/>
              <w:left w:val="nil"/>
              <w:bottom w:val="single" w:color="000000" w:sz="8" w:space="0"/>
              <w:right w:val="single" w:color="000000" w:sz="8" w:space="0"/>
            </w:tcBorders>
            <w:shd w:val="clear" w:color="auto" w:fill="auto"/>
            <w:vAlign w:val="top"/>
          </w:tcPr>
          <w:p w14:paraId="714EAD7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人社厅数据中心</w:t>
            </w:r>
          </w:p>
        </w:tc>
        <w:tc>
          <w:tcPr>
            <w:tcW w:w="683" w:type="pct"/>
            <w:vMerge w:val="continue"/>
            <w:tcBorders>
              <w:left w:val="nil"/>
              <w:right w:val="single" w:color="000000" w:sz="8" w:space="0"/>
            </w:tcBorders>
            <w:shd w:val="clear" w:color="auto" w:fill="auto"/>
            <w:vAlign w:val="top"/>
          </w:tcPr>
          <w:p w14:paraId="5EFBB135">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center"/>
          </w:tcPr>
          <w:p w14:paraId="5803B1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全民参保系统</w:t>
            </w:r>
          </w:p>
        </w:tc>
      </w:tr>
      <w:tr w14:paraId="0459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06" w:type="pct"/>
            <w:tcBorders>
              <w:top w:val="nil"/>
              <w:left w:val="single" w:color="000000" w:sz="8" w:space="0"/>
              <w:bottom w:val="single" w:color="000000" w:sz="8" w:space="0"/>
              <w:right w:val="single" w:color="000000" w:sz="8" w:space="0"/>
            </w:tcBorders>
            <w:shd w:val="clear" w:color="auto" w:fill="auto"/>
            <w:vAlign w:val="top"/>
          </w:tcPr>
          <w:p w14:paraId="2BE7C8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510" w:type="pct"/>
            <w:tcBorders>
              <w:top w:val="nil"/>
              <w:left w:val="nil"/>
              <w:bottom w:val="single" w:color="000000" w:sz="8" w:space="0"/>
              <w:right w:val="single" w:color="000000" w:sz="8" w:space="0"/>
            </w:tcBorders>
            <w:shd w:val="clear" w:color="auto" w:fill="auto"/>
            <w:vAlign w:val="top"/>
          </w:tcPr>
          <w:p w14:paraId="6F7CCD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718" w:type="pct"/>
            <w:tcBorders>
              <w:top w:val="nil"/>
              <w:left w:val="nil"/>
              <w:bottom w:val="single" w:color="000000" w:sz="8" w:space="0"/>
              <w:right w:val="single" w:color="000000" w:sz="8" w:space="0"/>
            </w:tcBorders>
            <w:shd w:val="clear" w:color="auto" w:fill="auto"/>
            <w:vAlign w:val="top"/>
          </w:tcPr>
          <w:p w14:paraId="132BE8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  8 核；内存：16 GB；磁盘：100 GB；存储：200 GB</w:t>
            </w:r>
          </w:p>
        </w:tc>
        <w:tc>
          <w:tcPr>
            <w:tcW w:w="964" w:type="pct"/>
            <w:tcBorders>
              <w:top w:val="nil"/>
              <w:left w:val="nil"/>
              <w:bottom w:val="single" w:color="000000" w:sz="8" w:space="0"/>
              <w:right w:val="single" w:color="000000" w:sz="8" w:space="0"/>
            </w:tcBorders>
            <w:shd w:val="clear" w:color="auto" w:fill="auto"/>
            <w:vAlign w:val="top"/>
          </w:tcPr>
          <w:p w14:paraId="215C8A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云上贵州机房计算资源池</w:t>
            </w:r>
          </w:p>
        </w:tc>
        <w:tc>
          <w:tcPr>
            <w:tcW w:w="683" w:type="pct"/>
            <w:vMerge w:val="continue"/>
            <w:tcBorders>
              <w:left w:val="nil"/>
              <w:bottom w:val="single" w:color="000000" w:sz="8" w:space="0"/>
              <w:right w:val="single" w:color="000000" w:sz="8" w:space="0"/>
            </w:tcBorders>
            <w:shd w:val="clear" w:color="auto" w:fill="auto"/>
            <w:vAlign w:val="top"/>
          </w:tcPr>
          <w:p w14:paraId="374A0DAD">
            <w:pPr>
              <w:keepNext w:val="0"/>
              <w:keepLines w:val="0"/>
              <w:pageBreakBefore w:val="0"/>
              <w:widowControl/>
              <w:kinsoku/>
              <w:wordWrap/>
              <w:overflowPunct/>
              <w:topLinePunct w:val="0"/>
              <w:autoSpaceDE/>
              <w:autoSpaceDN/>
              <w:bidi w:val="0"/>
              <w:adjustRightInd w:val="0"/>
              <w:snapToGrid w:val="0"/>
              <w:jc w:val="center"/>
              <w:rPr>
                <w:rFonts w:hint="eastAsia" w:ascii="仿宋_GB2312" w:hAnsi="宋体" w:eastAsia="仿宋_GB2312" w:cs="仿宋_GB2312"/>
                <w:i w:val="0"/>
                <w:iCs w:val="0"/>
                <w:color w:val="000000"/>
                <w:sz w:val="28"/>
                <w:szCs w:val="28"/>
                <w:u w:val="none"/>
              </w:rPr>
            </w:pPr>
          </w:p>
        </w:tc>
        <w:tc>
          <w:tcPr>
            <w:tcW w:w="816" w:type="pct"/>
            <w:tcBorders>
              <w:top w:val="nil"/>
              <w:left w:val="nil"/>
              <w:bottom w:val="single" w:color="000000" w:sz="8" w:space="0"/>
              <w:right w:val="single" w:color="000000" w:sz="8" w:space="0"/>
            </w:tcBorders>
            <w:shd w:val="clear" w:color="auto" w:fill="auto"/>
            <w:vAlign w:val="center"/>
          </w:tcPr>
          <w:p w14:paraId="34B7FC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贵州省社会保险基金全程电子化系统</w:t>
            </w:r>
          </w:p>
        </w:tc>
      </w:tr>
    </w:tbl>
    <w:p w14:paraId="12F50B7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trike w:val="0"/>
          <w:dstrike w:val="0"/>
          <w:color w:val="auto"/>
          <w:sz w:val="32"/>
          <w:szCs w:val="32"/>
          <w:lang w:val="en-US" w:eastAsia="zh-CN"/>
        </w:rPr>
      </w:pPr>
    </w:p>
    <w:p w14:paraId="63FB70F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数据库服务器配置及数量描述</w:t>
      </w:r>
    </w:p>
    <w:tbl>
      <w:tblPr>
        <w:tblStyle w:val="1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677"/>
        <w:gridCol w:w="739"/>
        <w:gridCol w:w="756"/>
        <w:gridCol w:w="1359"/>
        <w:gridCol w:w="2808"/>
        <w:gridCol w:w="1269"/>
        <w:gridCol w:w="1346"/>
      </w:tblGrid>
      <w:tr w14:paraId="09E3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2E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412" w:type="pct"/>
            <w:tcBorders>
              <w:top w:val="single" w:color="000000" w:sz="4" w:space="0"/>
              <w:left w:val="single" w:color="000000" w:sz="4" w:space="0"/>
              <w:right w:val="single" w:color="000000" w:sz="4" w:space="0"/>
            </w:tcBorders>
            <w:shd w:val="clear" w:color="auto" w:fill="auto"/>
            <w:noWrap/>
            <w:vAlign w:val="center"/>
          </w:tcPr>
          <w:p w14:paraId="67B48D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内存</w:t>
            </w:r>
          </w:p>
        </w:tc>
        <w:tc>
          <w:tcPr>
            <w:tcW w:w="422" w:type="pct"/>
            <w:tcBorders>
              <w:top w:val="single" w:color="000000" w:sz="4" w:space="0"/>
              <w:left w:val="single" w:color="000000" w:sz="4" w:space="0"/>
              <w:right w:val="single" w:color="000000" w:sz="4" w:space="0"/>
            </w:tcBorders>
            <w:shd w:val="clear" w:color="auto" w:fill="auto"/>
            <w:vAlign w:val="center"/>
          </w:tcPr>
          <w:p w14:paraId="2EB29C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HBA卡数量</w:t>
            </w:r>
          </w:p>
        </w:tc>
        <w:tc>
          <w:tcPr>
            <w:tcW w:w="758" w:type="pct"/>
            <w:tcBorders>
              <w:top w:val="single" w:color="000000" w:sz="4" w:space="0"/>
              <w:left w:val="single" w:color="000000" w:sz="4" w:space="0"/>
              <w:right w:val="single" w:color="000000" w:sz="4" w:space="0"/>
            </w:tcBorders>
            <w:shd w:val="clear" w:color="auto" w:fill="auto"/>
            <w:vAlign w:val="center"/>
          </w:tcPr>
          <w:p w14:paraId="6C004D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8"/>
                <w:szCs w:val="28"/>
                <w:u w:val="none"/>
                <w:lang w:val="en-US"/>
              </w:rPr>
            </w:pPr>
            <w:r>
              <w:rPr>
                <w:rFonts w:hint="eastAsia" w:ascii="仿宋_GB2312" w:hAnsi="仿宋_GB2312" w:eastAsia="仿宋_GB2312" w:cs="仿宋_GB2312"/>
                <w:b/>
                <w:bCs/>
                <w:i w:val="0"/>
                <w:iCs w:val="0"/>
                <w:color w:val="000000"/>
                <w:kern w:val="0"/>
                <w:sz w:val="28"/>
                <w:szCs w:val="28"/>
                <w:u w:val="none"/>
                <w:lang w:val="en-US" w:eastAsia="zh-CN" w:bidi="ar"/>
              </w:rPr>
              <w:t>固态</w:t>
            </w:r>
            <w:r>
              <w:rPr>
                <w:rFonts w:hint="eastAsia" w:cs="仿宋_GB2312"/>
                <w:b/>
                <w:bCs/>
                <w:i w:val="0"/>
                <w:iCs w:val="0"/>
                <w:color w:val="000000"/>
                <w:kern w:val="0"/>
                <w:sz w:val="28"/>
                <w:szCs w:val="28"/>
                <w:u w:val="none"/>
                <w:lang w:val="en-US" w:eastAsia="zh-CN" w:bidi="ar"/>
              </w:rPr>
              <w:t>硬盘</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BA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8"/>
                <w:szCs w:val="28"/>
                <w:u w:val="none"/>
                <w:lang w:val="en-US"/>
              </w:rPr>
            </w:pPr>
            <w:r>
              <w:rPr>
                <w:rFonts w:hint="eastAsia" w:ascii="仿宋_GB2312" w:hAnsi="仿宋_GB2312" w:eastAsia="仿宋_GB2312" w:cs="仿宋_GB2312"/>
                <w:b/>
                <w:bCs/>
                <w:i w:val="0"/>
                <w:iCs w:val="0"/>
                <w:color w:val="000000"/>
                <w:kern w:val="0"/>
                <w:sz w:val="28"/>
                <w:szCs w:val="28"/>
                <w:u w:val="none"/>
                <w:lang w:val="en-US" w:eastAsia="zh-CN" w:bidi="ar"/>
              </w:rPr>
              <w:t>机械</w:t>
            </w:r>
            <w:r>
              <w:rPr>
                <w:rFonts w:hint="eastAsia" w:cs="仿宋_GB2312"/>
                <w:b/>
                <w:bCs/>
                <w:i w:val="0"/>
                <w:iCs w:val="0"/>
                <w:color w:val="000000"/>
                <w:kern w:val="0"/>
                <w:sz w:val="28"/>
                <w:szCs w:val="28"/>
                <w:u w:val="none"/>
                <w:lang w:val="en-US" w:eastAsia="zh-CN" w:bidi="ar"/>
              </w:rPr>
              <w:t>硬盘</w:t>
            </w:r>
          </w:p>
        </w:tc>
        <w:tc>
          <w:tcPr>
            <w:tcW w:w="708" w:type="pct"/>
            <w:tcBorders>
              <w:top w:val="single" w:color="000000" w:sz="4" w:space="0"/>
              <w:left w:val="single" w:color="000000" w:sz="4" w:space="0"/>
              <w:right w:val="single" w:color="000000" w:sz="4" w:space="0"/>
            </w:tcBorders>
            <w:shd w:val="clear" w:color="auto" w:fill="auto"/>
            <w:vAlign w:val="center"/>
          </w:tcPr>
          <w:p w14:paraId="1755F2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cs="仿宋_GB2312"/>
                <w:b/>
                <w:bCs/>
                <w:i w:val="0"/>
                <w:iCs w:val="0"/>
                <w:color w:val="000000"/>
                <w:kern w:val="0"/>
                <w:sz w:val="28"/>
                <w:szCs w:val="28"/>
                <w:u w:val="none"/>
                <w:lang w:val="en-US" w:eastAsia="zh-CN" w:bidi="ar"/>
              </w:rPr>
              <w:t>部署环境</w:t>
            </w:r>
          </w:p>
        </w:tc>
        <w:tc>
          <w:tcPr>
            <w:tcW w:w="751" w:type="pct"/>
            <w:tcBorders>
              <w:top w:val="single" w:color="000000" w:sz="4" w:space="0"/>
              <w:left w:val="single" w:color="000000" w:sz="4" w:space="0"/>
              <w:bottom w:val="single" w:color="auto" w:sz="4" w:space="0"/>
              <w:right w:val="single" w:color="000000" w:sz="4" w:space="0"/>
            </w:tcBorders>
            <w:shd w:val="clear" w:color="auto" w:fill="auto"/>
            <w:vAlign w:val="center"/>
          </w:tcPr>
          <w:p w14:paraId="4122D1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cs="仿宋_GB2312"/>
                <w:b/>
                <w:bCs/>
                <w:i w:val="0"/>
                <w:iCs w:val="0"/>
                <w:color w:val="000000"/>
                <w:kern w:val="0"/>
                <w:sz w:val="28"/>
                <w:szCs w:val="28"/>
                <w:u w:val="none"/>
                <w:lang w:val="en-US" w:eastAsia="zh-CN" w:bidi="ar"/>
              </w:rPr>
            </w:pPr>
            <w:r>
              <w:rPr>
                <w:rFonts w:hint="eastAsia" w:cs="仿宋_GB2312"/>
                <w:b/>
                <w:bCs/>
                <w:i w:val="0"/>
                <w:iCs w:val="0"/>
                <w:color w:val="000000"/>
                <w:kern w:val="0"/>
                <w:sz w:val="28"/>
                <w:szCs w:val="28"/>
                <w:u w:val="none"/>
                <w:lang w:val="en-US" w:eastAsia="zh-CN" w:bidi="ar"/>
              </w:rPr>
              <w:t>备注</w:t>
            </w:r>
          </w:p>
        </w:tc>
      </w:tr>
      <w:tr w14:paraId="3465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D3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DF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1TB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CF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FC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1.8TB(1块</w:t>
            </w:r>
            <w:r>
              <w:rPr>
                <w:rFonts w:hint="eastAsia" w:cs="仿宋_GB2312"/>
                <w:i w:val="0"/>
                <w:iCs w:val="0"/>
                <w:color w:val="000000"/>
                <w:kern w:val="0"/>
                <w:sz w:val="28"/>
                <w:szCs w:val="28"/>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E5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；512GB(35块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；1TB(107块</w:t>
            </w:r>
            <w:r>
              <w:rPr>
                <w:rFonts w:hint="eastAsia" w:cs="仿宋_GB2312"/>
                <w:i w:val="0"/>
                <w:iCs w:val="0"/>
                <w:color w:val="000000"/>
                <w:kern w:val="0"/>
                <w:sz w:val="28"/>
                <w:szCs w:val="28"/>
                <w:u w:val="none"/>
                <w:lang w:val="en-US" w:eastAsia="zh-CN" w:bidi="ar"/>
              </w:rPr>
              <w:t>）</w:t>
            </w:r>
          </w:p>
        </w:tc>
        <w:tc>
          <w:tcPr>
            <w:tcW w:w="708" w:type="pct"/>
            <w:vMerge w:val="restart"/>
            <w:tcBorders>
              <w:top w:val="single" w:color="000000" w:sz="4" w:space="0"/>
              <w:left w:val="single" w:color="000000" w:sz="4" w:space="0"/>
              <w:right w:val="single" w:color="auto" w:sz="4" w:space="0"/>
            </w:tcBorders>
            <w:shd w:val="clear" w:color="auto" w:fill="auto"/>
            <w:vAlign w:val="center"/>
          </w:tcPr>
          <w:p w14:paraId="696C53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云上贵州高性能资源池</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14:paraId="39EC43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cs="仿宋_GB2312"/>
                <w:i w:val="0"/>
                <w:iCs w:val="0"/>
                <w:color w:val="000000"/>
                <w:kern w:val="0"/>
                <w:sz w:val="28"/>
                <w:szCs w:val="28"/>
                <w:u w:val="none"/>
                <w:lang w:val="en-US" w:eastAsia="zh-CN" w:bidi="ar"/>
              </w:rPr>
            </w:pPr>
          </w:p>
        </w:tc>
      </w:tr>
      <w:tr w14:paraId="03B7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45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B3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1TB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28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A3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1.8TB(1块</w:t>
            </w:r>
            <w:r>
              <w:rPr>
                <w:rFonts w:hint="eastAsia" w:cs="仿宋_GB2312"/>
                <w:i w:val="0"/>
                <w:iCs w:val="0"/>
                <w:color w:val="000000"/>
                <w:kern w:val="0"/>
                <w:sz w:val="28"/>
                <w:szCs w:val="28"/>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CB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；512GB(35块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；1TB(107块</w:t>
            </w:r>
            <w:r>
              <w:rPr>
                <w:rFonts w:hint="eastAsia" w:cs="仿宋_GB2312"/>
                <w:i w:val="0"/>
                <w:iCs w:val="0"/>
                <w:color w:val="000000"/>
                <w:kern w:val="0"/>
                <w:sz w:val="28"/>
                <w:szCs w:val="28"/>
                <w:u w:val="none"/>
                <w:lang w:val="en-US" w:eastAsia="zh-CN" w:bidi="ar"/>
              </w:rPr>
              <w:t>）</w:t>
            </w:r>
          </w:p>
        </w:tc>
        <w:tc>
          <w:tcPr>
            <w:tcW w:w="708" w:type="pct"/>
            <w:vMerge w:val="continue"/>
            <w:tcBorders>
              <w:left w:val="single" w:color="000000" w:sz="4" w:space="0"/>
              <w:right w:val="single" w:color="auto" w:sz="4" w:space="0"/>
            </w:tcBorders>
            <w:shd w:val="clear" w:color="auto" w:fill="auto"/>
            <w:vAlign w:val="center"/>
          </w:tcPr>
          <w:p w14:paraId="7C4E0F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14:paraId="5E0951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0565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78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F1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17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1TB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B4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F6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3.5TB(2块，其中一块配置为多路径</w:t>
            </w:r>
            <w:r>
              <w:rPr>
                <w:rFonts w:hint="eastAsia" w:cs="仿宋_GB2312"/>
                <w:i w:val="0"/>
                <w:iCs w:val="0"/>
                <w:color w:val="000000"/>
                <w:kern w:val="0"/>
                <w:sz w:val="28"/>
                <w:szCs w:val="28"/>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15B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1GB(17块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；100GB(380块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；400GB(15块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；512GB(167块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；1016GB(10块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；1TB(121块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；1.4TB(3块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；1.5TB(37块</w:t>
            </w:r>
            <w:r>
              <w:rPr>
                <w:rFonts w:hint="eastAsia" w:cs="仿宋_GB2312"/>
                <w:i w:val="0"/>
                <w:iCs w:val="0"/>
                <w:color w:val="000000"/>
                <w:kern w:val="0"/>
                <w:sz w:val="28"/>
                <w:szCs w:val="28"/>
                <w:u w:val="none"/>
                <w:lang w:val="en-US" w:eastAsia="zh-CN" w:bidi="ar"/>
              </w:rPr>
              <w:t>）</w:t>
            </w:r>
          </w:p>
        </w:tc>
        <w:tc>
          <w:tcPr>
            <w:tcW w:w="708" w:type="pct"/>
            <w:vMerge w:val="continue"/>
            <w:tcBorders>
              <w:left w:val="single" w:color="000000" w:sz="4" w:space="0"/>
              <w:right w:val="single" w:color="auto" w:sz="4" w:space="0"/>
            </w:tcBorders>
            <w:shd w:val="clear" w:color="auto" w:fill="auto"/>
            <w:vAlign w:val="center"/>
          </w:tcPr>
          <w:p w14:paraId="241537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14:paraId="0D0D39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6017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13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97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1TB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F2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2D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3.5TB(2块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其中一块配置为多路径</w:t>
            </w:r>
            <w:r>
              <w:rPr>
                <w:rFonts w:hint="eastAsia" w:cs="仿宋_GB2312"/>
                <w:i w:val="0"/>
                <w:iCs w:val="0"/>
                <w:color w:val="000000"/>
                <w:kern w:val="0"/>
                <w:sz w:val="28"/>
                <w:szCs w:val="28"/>
                <w:u w:val="none"/>
                <w:lang w:val="en-US" w:eastAsia="zh-CN" w:bidi="ar"/>
              </w:rPr>
              <w:t>）</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50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1GB(17块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；100GB(386块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；400GB(15块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；512GB(170块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；1016GB(10块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；1TB(121块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；1.4TB(3块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；1.5TB(37块</w:t>
            </w:r>
            <w:r>
              <w:rPr>
                <w:rFonts w:hint="eastAsia" w:cs="仿宋_GB2312"/>
                <w:i w:val="0"/>
                <w:iCs w:val="0"/>
                <w:color w:val="000000"/>
                <w:kern w:val="0"/>
                <w:sz w:val="28"/>
                <w:szCs w:val="28"/>
                <w:u w:val="none"/>
                <w:lang w:val="en-US" w:eastAsia="zh-CN" w:bidi="ar"/>
              </w:rPr>
              <w:t>）</w:t>
            </w:r>
          </w:p>
        </w:tc>
        <w:tc>
          <w:tcPr>
            <w:tcW w:w="708" w:type="pct"/>
            <w:vMerge w:val="continue"/>
            <w:tcBorders>
              <w:left w:val="single" w:color="000000" w:sz="4" w:space="0"/>
              <w:right w:val="single" w:color="auto" w:sz="4" w:space="0"/>
            </w:tcBorders>
            <w:shd w:val="clear" w:color="auto" w:fill="auto"/>
            <w:vAlign w:val="center"/>
          </w:tcPr>
          <w:p w14:paraId="69573C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14:paraId="2037AD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24FF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3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C8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DA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503GB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2E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4EB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i w:val="0"/>
                <w:iCs w:val="0"/>
                <w:color w:val="000000"/>
                <w:sz w:val="28"/>
                <w:szCs w:val="28"/>
                <w:u w:val="none"/>
              </w:rPr>
            </w:pPr>
          </w:p>
        </w:tc>
        <w:tc>
          <w:tcPr>
            <w:tcW w:w="15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8D418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1.1TB(1块，系统盘</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；1TB(81块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；10GB(5块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；50GB(6块</w:t>
            </w:r>
            <w:r>
              <w:rPr>
                <w:rFonts w:hint="eastAsia" w:cs="仿宋_GB2312"/>
                <w:i w:val="0"/>
                <w:iCs w:val="0"/>
                <w:color w:val="000000"/>
                <w:kern w:val="0"/>
                <w:sz w:val="28"/>
                <w:szCs w:val="28"/>
                <w:u w:val="none"/>
                <w:lang w:val="en-US" w:eastAsia="zh-CN" w:bidi="ar"/>
              </w:rPr>
              <w:t>）</w:t>
            </w:r>
          </w:p>
        </w:tc>
        <w:tc>
          <w:tcPr>
            <w:tcW w:w="708" w:type="pct"/>
            <w:vMerge w:val="continue"/>
            <w:tcBorders>
              <w:left w:val="single" w:color="000000" w:sz="4" w:space="0"/>
              <w:bottom w:val="single" w:color="auto" w:sz="4" w:space="0"/>
              <w:right w:val="single" w:color="auto" w:sz="4" w:space="0"/>
            </w:tcBorders>
            <w:shd w:val="clear" w:color="auto" w:fill="auto"/>
            <w:vAlign w:val="center"/>
          </w:tcPr>
          <w:p w14:paraId="06FF89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14:paraId="762695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401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5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01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81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503GB</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37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5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A205EC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i w:val="0"/>
                <w:iCs w:val="0"/>
                <w:color w:val="000000"/>
                <w:sz w:val="28"/>
                <w:szCs w:val="28"/>
                <w:u w:val="none"/>
              </w:rPr>
            </w:pPr>
          </w:p>
        </w:tc>
        <w:tc>
          <w:tcPr>
            <w:tcW w:w="1568" w:type="pct"/>
            <w:tcBorders>
              <w:top w:val="single" w:color="auto" w:sz="4" w:space="0"/>
              <w:left w:val="single" w:color="auto" w:sz="4" w:space="0"/>
              <w:bottom w:val="single" w:color="auto" w:sz="4" w:space="0"/>
              <w:right w:val="single" w:color="auto" w:sz="4" w:space="0"/>
            </w:tcBorders>
            <w:shd w:val="clear" w:color="auto" w:fill="auto"/>
            <w:vAlign w:val="center"/>
          </w:tcPr>
          <w:p w14:paraId="6C225B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1.1TB(1块，系统盘</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；1TB(84块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；10GB(5块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；50GB(6块</w:t>
            </w:r>
            <w:r>
              <w:rPr>
                <w:rFonts w:hint="eastAsia"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000000"/>
                <w:kern w:val="0"/>
                <w:sz w:val="28"/>
                <w:szCs w:val="28"/>
                <w:u w:val="none"/>
                <w:lang w:val="en-US" w:eastAsia="zh-CN" w:bidi="ar"/>
              </w:rPr>
              <w:t>；500GB(3块</w:t>
            </w:r>
            <w:r>
              <w:rPr>
                <w:rFonts w:hint="eastAsia" w:cs="仿宋_GB2312"/>
                <w:i w:val="0"/>
                <w:iCs w:val="0"/>
                <w:color w:val="000000"/>
                <w:kern w:val="0"/>
                <w:sz w:val="28"/>
                <w:szCs w:val="28"/>
                <w:u w:val="none"/>
                <w:lang w:val="en-US" w:eastAsia="zh-CN" w:bidi="ar"/>
              </w:rPr>
              <w:t>）</w:t>
            </w:r>
          </w:p>
        </w:tc>
        <w:tc>
          <w:tcPr>
            <w:tcW w:w="7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715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14:paraId="36C03B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053F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5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9E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7</w:t>
            </w:r>
          </w:p>
        </w:tc>
        <w:tc>
          <w:tcPr>
            <w:tcW w:w="1593" w:type="pct"/>
            <w:gridSpan w:val="3"/>
            <w:vMerge w:val="restart"/>
            <w:tcBorders>
              <w:top w:val="single" w:color="000000" w:sz="4" w:space="0"/>
              <w:left w:val="single" w:color="000000" w:sz="4" w:space="0"/>
              <w:right w:val="single" w:color="auto" w:sz="4" w:space="0"/>
            </w:tcBorders>
            <w:shd w:val="clear" w:color="auto" w:fill="auto"/>
            <w:noWrap/>
            <w:vAlign w:val="center"/>
          </w:tcPr>
          <w:p w14:paraId="201769B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i w:val="0"/>
                <w:iCs w:val="0"/>
                <w:color w:val="000000"/>
                <w:sz w:val="28"/>
                <w:szCs w:val="28"/>
                <w:u w:val="none"/>
              </w:rPr>
            </w:pPr>
            <w:r>
              <w:rPr>
                <w:rFonts w:hint="eastAsia" w:cs="仿宋_GB2312"/>
                <w:i w:val="0"/>
                <w:iCs w:val="0"/>
                <w:color w:val="000000"/>
                <w:kern w:val="0"/>
                <w:sz w:val="28"/>
                <w:szCs w:val="28"/>
                <w:u w:val="none"/>
                <w:lang w:val="en-US" w:eastAsia="zh-CN" w:bidi="ar"/>
              </w:rPr>
              <w:t>与人社厅数据中心其他应用共用</w:t>
            </w:r>
          </w:p>
        </w:tc>
        <w:tc>
          <w:tcPr>
            <w:tcW w:w="1568" w:type="pct"/>
            <w:tcBorders>
              <w:top w:val="single" w:color="auto" w:sz="4" w:space="0"/>
              <w:left w:val="single" w:color="auto" w:sz="4" w:space="0"/>
              <w:bottom w:val="single" w:color="auto" w:sz="4" w:space="0"/>
              <w:right w:val="single" w:color="auto" w:sz="4" w:space="0"/>
            </w:tcBorders>
            <w:shd w:val="clear" w:color="auto" w:fill="auto"/>
            <w:vAlign w:val="center"/>
          </w:tcPr>
          <w:p w14:paraId="58C455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2T</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40833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人社厅数据中心</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14:paraId="4AB294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全民参保系统</w:t>
            </w:r>
          </w:p>
        </w:tc>
      </w:tr>
      <w:tr w14:paraId="564A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5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E0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8</w:t>
            </w:r>
          </w:p>
        </w:tc>
        <w:tc>
          <w:tcPr>
            <w:tcW w:w="1593" w:type="pct"/>
            <w:gridSpan w:val="3"/>
            <w:vMerge w:val="continue"/>
            <w:tcBorders>
              <w:left w:val="single" w:color="000000" w:sz="4" w:space="0"/>
              <w:bottom w:val="single" w:color="000000" w:sz="4" w:space="0"/>
              <w:right w:val="single" w:color="auto" w:sz="4" w:space="0"/>
            </w:tcBorders>
            <w:shd w:val="clear" w:color="auto" w:fill="auto"/>
            <w:noWrap/>
            <w:vAlign w:val="center"/>
          </w:tcPr>
          <w:p w14:paraId="03DEF10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i w:val="0"/>
                <w:iCs w:val="0"/>
                <w:color w:val="000000"/>
                <w:sz w:val="28"/>
                <w:szCs w:val="28"/>
                <w:u w:val="none"/>
              </w:rPr>
            </w:pPr>
          </w:p>
        </w:tc>
        <w:tc>
          <w:tcPr>
            <w:tcW w:w="1568" w:type="pct"/>
            <w:tcBorders>
              <w:top w:val="single" w:color="auto" w:sz="4" w:space="0"/>
              <w:left w:val="single" w:color="auto" w:sz="4" w:space="0"/>
              <w:bottom w:val="single" w:color="auto" w:sz="4" w:space="0"/>
              <w:right w:val="single" w:color="auto" w:sz="4" w:space="0"/>
            </w:tcBorders>
            <w:shd w:val="clear" w:color="auto" w:fill="auto"/>
            <w:vAlign w:val="center"/>
          </w:tcPr>
          <w:p w14:paraId="63776D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2T</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17686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人社厅数据中心</w:t>
            </w:r>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14:paraId="1E15F2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cs="仿宋_GB2312"/>
                <w:i w:val="0"/>
                <w:iCs w:val="0"/>
                <w:color w:val="000000"/>
                <w:kern w:val="0"/>
                <w:sz w:val="28"/>
                <w:szCs w:val="28"/>
                <w:u w:val="none"/>
                <w:lang w:val="en-US" w:eastAsia="zh-CN" w:bidi="ar"/>
              </w:rPr>
            </w:pPr>
            <w:r>
              <w:rPr>
                <w:rFonts w:hint="eastAsia" w:cs="仿宋_GB2312"/>
                <w:i w:val="0"/>
                <w:iCs w:val="0"/>
                <w:color w:val="000000"/>
                <w:kern w:val="0"/>
                <w:sz w:val="28"/>
                <w:szCs w:val="28"/>
                <w:u w:val="none"/>
                <w:lang w:val="en-US" w:eastAsia="zh-CN" w:bidi="ar"/>
              </w:rPr>
              <w:t>社银一体化</w:t>
            </w:r>
          </w:p>
        </w:tc>
      </w:tr>
    </w:tbl>
    <w:p w14:paraId="698699D4">
      <w:pPr>
        <w:pStyle w:val="8"/>
        <w:numPr>
          <w:ilvl w:val="-1"/>
          <w:numId w:val="0"/>
          <w:ins w:id="5" w:author="ysgz" w:date=""/>
        </w:numPr>
        <w:bidi w:val="0"/>
        <w:ind w:left="0" w:leftChars="0" w:firstLine="643" w:firstLineChars="200"/>
        <w:rPr>
          <w:rFonts w:hint="eastAsia"/>
          <w:lang w:val="en-US" w:eastAsia="zh-CN"/>
        </w:rPr>
      </w:pPr>
      <w:r>
        <w:rPr>
          <w:rFonts w:hint="eastAsia"/>
          <w:lang w:val="en-US" w:eastAsia="zh-CN"/>
        </w:rPr>
        <w:t>b.资源需求</w:t>
      </w:r>
    </w:p>
    <w:p w14:paraId="1FAC2B06">
      <w:pPr>
        <w:spacing w:line="560" w:lineRule="exact"/>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根据人社部《人力资源社会保障行业应用信创建设指南》（人社网信函〔2024〕4号）中选型的指导建议，“对于复杂场景下的交易型业务</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数据规模在1亿以上、高并发的业务，推荐选择分布式数据库，</w:t>
      </w:r>
      <w:r>
        <w:rPr>
          <w:rFonts w:hint="eastAsia" w:cs="仿宋_GB2312"/>
          <w:b w:val="0"/>
          <w:bCs w:val="0"/>
          <w:sz w:val="32"/>
          <w:szCs w:val="32"/>
          <w:lang w:val="en-US" w:eastAsia="zh-CN"/>
        </w:rPr>
        <w:t>例如</w:t>
      </w:r>
      <w:r>
        <w:rPr>
          <w:rFonts w:hint="eastAsia" w:ascii="仿宋_GB2312" w:hAnsi="仿宋_GB2312" w:eastAsia="仿宋_GB2312" w:cs="仿宋_GB2312"/>
          <w:b w:val="0"/>
          <w:bCs w:val="0"/>
          <w:sz w:val="32"/>
          <w:szCs w:val="32"/>
        </w:rPr>
        <w:t>社保、就业等覆盖全省</w:t>
      </w:r>
      <w:r>
        <w:rPr>
          <w:rFonts w:hint="eastAsia" w:cs="仿宋_GB2312"/>
          <w:b w:val="0"/>
          <w:bCs w:val="0"/>
          <w:sz w:val="32"/>
          <w:szCs w:val="32"/>
          <w:lang w:val="en-US" w:eastAsia="zh-CN"/>
        </w:rPr>
        <w:t>人口</w:t>
      </w:r>
      <w:r>
        <w:rPr>
          <w:rFonts w:hint="eastAsia" w:ascii="仿宋_GB2312" w:hAnsi="仿宋_GB2312" w:eastAsia="仿宋_GB2312" w:cs="仿宋_GB2312"/>
          <w:b w:val="0"/>
          <w:bCs w:val="0"/>
          <w:sz w:val="32"/>
          <w:szCs w:val="32"/>
        </w:rPr>
        <w:t>的业务”</w:t>
      </w:r>
      <w:r>
        <w:rPr>
          <w:rFonts w:hint="eastAsia" w:cs="仿宋_GB2312"/>
          <w:b w:val="0"/>
          <w:bCs w:val="0"/>
          <w:sz w:val="32"/>
          <w:szCs w:val="32"/>
          <w:lang w:eastAsia="zh-CN"/>
        </w:rPr>
        <w:t>、“</w:t>
      </w:r>
      <w:r>
        <w:rPr>
          <w:rFonts w:hint="eastAsia" w:cs="仿宋_GB2312"/>
          <w:b w:val="0"/>
          <w:bCs w:val="0"/>
          <w:sz w:val="32"/>
          <w:szCs w:val="32"/>
          <w:lang w:val="en-US" w:eastAsia="zh-CN"/>
        </w:rPr>
        <w:t>中间件：在产品选择方面不仅要考虑业务系统的兼容适配问题，还要考虑产品的安全性，需选择国产正版中间件产品</w:t>
      </w:r>
      <w:r>
        <w:rPr>
          <w:rFonts w:hint="eastAsia" w:cs="仿宋_GB2312"/>
          <w:b w:val="0"/>
          <w:bCs w:val="0"/>
          <w:sz w:val="32"/>
          <w:szCs w:val="32"/>
          <w:lang w:eastAsia="zh-CN"/>
        </w:rPr>
        <w:t>”、“</w:t>
      </w:r>
      <w:r>
        <w:rPr>
          <w:rFonts w:hint="eastAsia" w:cs="仿宋_GB2312"/>
          <w:b w:val="0"/>
          <w:bCs w:val="0"/>
          <w:sz w:val="32"/>
          <w:szCs w:val="32"/>
          <w:lang w:val="en-US" w:eastAsia="zh-CN"/>
        </w:rPr>
        <w:t>云资源：云平台应兼容国产化和非国产化产品，可以实现‘一云多芯’……需确保应用数据在迁移到云平台后的完整可用</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因此对数据库、中间件、云资源等需求如下：</w:t>
      </w:r>
    </w:p>
    <w:p w14:paraId="59AB3D75">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数据库选型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针对本次改造，建议选择国产分布式数据库进行支撑，目前市场主流的分布式数据库包括OceanBase、GaussDB、达梦等，具体可根据情况而定。</w:t>
      </w:r>
    </w:p>
    <w:p w14:paraId="6471B387">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中间件选型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中间件需要能够满足对国产CPU、国产操作系统的兼容，因此，建议选择目前市场比较主流的国产中间件。可选择金蝶、东方通等国产中间件。</w:t>
      </w:r>
    </w:p>
    <w:p w14:paraId="51188DF5">
      <w:pPr>
        <w:spacing w:line="560" w:lineRule="exact"/>
        <w:ind w:left="0" w:leftChars="0" w:firstLine="643"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z w:val="32"/>
          <w:szCs w:val="32"/>
        </w:rPr>
        <w:t>云资源需求：</w:t>
      </w:r>
      <w:r>
        <w:rPr>
          <w:rFonts w:hint="eastAsia" w:ascii="仿宋_GB2312" w:hAnsi="仿宋_GB2312" w:eastAsia="仿宋_GB2312" w:cs="仿宋_GB2312"/>
          <w:sz w:val="32"/>
          <w:szCs w:val="32"/>
        </w:rPr>
        <w:t>根据系统目前现状和支撑资源，云资源需求主要包括数据库支撑和应用支撑两部分。其中，数据库支撑包括OLTP数据库和OLAP数据库，由于数据库业务对IO响应、稳定性等要求较高，建议采用裸金属物理机进行支撑。建议单台配置不低于128核心，1TB内存，根据所选DBMS的不同，采用不同的高可靠方式。对于应用支撑，则可直接由云虚拟机或容器进行支撑。</w:t>
      </w:r>
    </w:p>
    <w:p w14:paraId="73924D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初步需求清单如下：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3686"/>
        <w:gridCol w:w="850"/>
        <w:gridCol w:w="1469"/>
      </w:tblGrid>
      <w:tr w14:paraId="606D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6" w:type="dxa"/>
            <w:vAlign w:val="center"/>
          </w:tcPr>
          <w:p w14:paraId="4529248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984" w:type="dxa"/>
            <w:vAlign w:val="center"/>
          </w:tcPr>
          <w:p w14:paraId="47DB45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资源名称</w:t>
            </w:r>
          </w:p>
        </w:tc>
        <w:tc>
          <w:tcPr>
            <w:tcW w:w="3686" w:type="dxa"/>
            <w:vAlign w:val="center"/>
          </w:tcPr>
          <w:p w14:paraId="04A18D4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概略配置</w:t>
            </w:r>
          </w:p>
        </w:tc>
        <w:tc>
          <w:tcPr>
            <w:tcW w:w="850" w:type="dxa"/>
            <w:vAlign w:val="center"/>
          </w:tcPr>
          <w:p w14:paraId="3358A57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c>
          <w:tcPr>
            <w:tcW w:w="1469" w:type="dxa"/>
            <w:vAlign w:val="center"/>
          </w:tcPr>
          <w:p w14:paraId="3693534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14:paraId="1B2F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1A1E144">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05D993A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生产库</w:t>
            </w:r>
          </w:p>
        </w:tc>
        <w:tc>
          <w:tcPr>
            <w:tcW w:w="3686" w:type="dxa"/>
            <w:vAlign w:val="center"/>
          </w:tcPr>
          <w:p w14:paraId="5FEA5EB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01E84FC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14:paraId="0C9417A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505E51F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14:paraId="132E36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71A19F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p>
        </w:tc>
        <w:tc>
          <w:tcPr>
            <w:tcW w:w="1469" w:type="dxa"/>
            <w:vAlign w:val="center"/>
          </w:tcPr>
          <w:p w14:paraId="5532BE9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14:paraId="4CA2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4ACA23">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657EBA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分析库</w:t>
            </w:r>
          </w:p>
        </w:tc>
        <w:tc>
          <w:tcPr>
            <w:tcW w:w="3686" w:type="dxa"/>
            <w:vAlign w:val="center"/>
          </w:tcPr>
          <w:p w14:paraId="3904354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54F3FE9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14:paraId="2D267E3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6D683D9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7.68TB SSD</w:t>
            </w:r>
          </w:p>
          <w:p w14:paraId="26601D9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57FB799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p>
        </w:tc>
        <w:tc>
          <w:tcPr>
            <w:tcW w:w="1469" w:type="dxa"/>
            <w:vAlign w:val="center"/>
          </w:tcPr>
          <w:p w14:paraId="5633977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14:paraId="7669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40912F4">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2DA3746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数据库管理节点</w:t>
            </w:r>
          </w:p>
        </w:tc>
        <w:tc>
          <w:tcPr>
            <w:tcW w:w="3686" w:type="dxa"/>
            <w:vAlign w:val="center"/>
          </w:tcPr>
          <w:p w14:paraId="54DA66F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59B09AE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512GB</w:t>
            </w:r>
            <w:r>
              <w:rPr>
                <w:rFonts w:hint="eastAsia" w:ascii="仿宋_GB2312" w:hAnsi="仿宋_GB2312" w:eastAsia="仿宋_GB2312" w:cs="仿宋_GB2312"/>
                <w:sz w:val="28"/>
                <w:szCs w:val="28"/>
              </w:rPr>
              <w:t>内存</w:t>
            </w:r>
          </w:p>
          <w:p w14:paraId="0CA2B0A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5BD12B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14:paraId="4941D96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0830314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Align w:val="center"/>
          </w:tcPr>
          <w:p w14:paraId="7CAB086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集群管理</w:t>
            </w:r>
          </w:p>
        </w:tc>
      </w:tr>
      <w:tr w14:paraId="75C3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A69FB34">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72E5ED0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应用虚拟机1</w:t>
            </w:r>
          </w:p>
        </w:tc>
        <w:tc>
          <w:tcPr>
            <w:tcW w:w="3686" w:type="dxa"/>
            <w:vAlign w:val="center"/>
          </w:tcPr>
          <w:p w14:paraId="24535A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70C760B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14:paraId="5775AB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7240209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14:paraId="69E839B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20</w:t>
            </w:r>
          </w:p>
        </w:tc>
        <w:tc>
          <w:tcPr>
            <w:tcW w:w="1469" w:type="dxa"/>
            <w:vAlign w:val="center"/>
          </w:tcPr>
          <w:p w14:paraId="4D48EC7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云虚拟机</w:t>
            </w:r>
          </w:p>
          <w:p w14:paraId="0328D9D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普通业务支撑</w:t>
            </w:r>
          </w:p>
        </w:tc>
      </w:tr>
      <w:tr w14:paraId="35E5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EC234A8">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56DE686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2</w:t>
            </w:r>
          </w:p>
        </w:tc>
        <w:tc>
          <w:tcPr>
            <w:tcW w:w="3686" w:type="dxa"/>
            <w:vAlign w:val="center"/>
          </w:tcPr>
          <w:p w14:paraId="7D21D8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090ADA5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32GB</w:t>
            </w:r>
            <w:r>
              <w:rPr>
                <w:rFonts w:hint="eastAsia" w:ascii="仿宋_GB2312" w:hAnsi="仿宋_GB2312" w:eastAsia="仿宋_GB2312" w:cs="仿宋_GB2312"/>
                <w:sz w:val="28"/>
                <w:szCs w:val="28"/>
              </w:rPr>
              <w:t>内存</w:t>
            </w:r>
          </w:p>
          <w:p w14:paraId="2FB07EF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68C1CD6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14:paraId="19CC589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20</w:t>
            </w:r>
          </w:p>
        </w:tc>
        <w:tc>
          <w:tcPr>
            <w:tcW w:w="1469" w:type="dxa"/>
            <w:vAlign w:val="center"/>
          </w:tcPr>
          <w:p w14:paraId="32E9B9A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独立小型中间件或业务支撑</w:t>
            </w:r>
          </w:p>
        </w:tc>
      </w:tr>
      <w:tr w14:paraId="1900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514924B">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28D5EC0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3</w:t>
            </w:r>
          </w:p>
        </w:tc>
        <w:tc>
          <w:tcPr>
            <w:tcW w:w="3686" w:type="dxa"/>
            <w:vAlign w:val="center"/>
          </w:tcPr>
          <w:p w14:paraId="5F6213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2D74BB5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14:paraId="640F6EB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0683EF6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10TB </w:t>
            </w:r>
            <w:r>
              <w:rPr>
                <w:rFonts w:hint="eastAsia" w:ascii="仿宋_GB2312" w:hAnsi="仿宋_GB2312" w:eastAsia="仿宋_GB2312" w:cs="仿宋_GB2312"/>
                <w:sz w:val="28"/>
                <w:szCs w:val="28"/>
              </w:rPr>
              <w:t>数据盘</w:t>
            </w:r>
          </w:p>
        </w:tc>
        <w:tc>
          <w:tcPr>
            <w:tcW w:w="850" w:type="dxa"/>
            <w:vAlign w:val="center"/>
          </w:tcPr>
          <w:p w14:paraId="03390B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1469" w:type="dxa"/>
            <w:vAlign w:val="center"/>
          </w:tcPr>
          <w:p w14:paraId="4C38707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存储类和暂存机类应用支撑</w:t>
            </w:r>
          </w:p>
        </w:tc>
      </w:tr>
      <w:tr w14:paraId="0D89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B42DA82">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1F342C8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非结构化存储</w:t>
            </w:r>
          </w:p>
        </w:tc>
        <w:tc>
          <w:tcPr>
            <w:tcW w:w="3686" w:type="dxa"/>
            <w:vAlign w:val="center"/>
          </w:tcPr>
          <w:p w14:paraId="55BF006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提供非结构化数据存储能力</w:t>
            </w:r>
          </w:p>
          <w:p w14:paraId="2D0B73B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对象存储或N</w:t>
            </w:r>
            <w:r>
              <w:rPr>
                <w:rFonts w:ascii="仿宋_GB2312" w:hAnsi="仿宋_GB2312" w:eastAsia="仿宋_GB2312" w:cs="仿宋_GB2312"/>
                <w:sz w:val="28"/>
                <w:szCs w:val="28"/>
              </w:rPr>
              <w:t>AS</w:t>
            </w:r>
            <w:r>
              <w:rPr>
                <w:rFonts w:hint="eastAsia" w:ascii="仿宋_GB2312" w:hAnsi="仿宋_GB2312" w:eastAsia="仿宋_GB2312" w:cs="仿宋_GB2312"/>
                <w:sz w:val="28"/>
                <w:szCs w:val="28"/>
              </w:rPr>
              <w:t>或其他N</w:t>
            </w:r>
            <w:r>
              <w:rPr>
                <w:rFonts w:ascii="仿宋_GB2312" w:hAnsi="仿宋_GB2312" w:eastAsia="仿宋_GB2312" w:cs="仿宋_GB2312"/>
                <w:sz w:val="28"/>
                <w:szCs w:val="28"/>
              </w:rPr>
              <w:t>FS</w:t>
            </w:r>
          </w:p>
          <w:p w14:paraId="3A71C43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能够挂载给应用虚拟机</w:t>
            </w:r>
          </w:p>
          <w:p w14:paraId="1F6080C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存储空间≥</w:t>
            </w:r>
            <w:r>
              <w:rPr>
                <w:rFonts w:ascii="仿宋_GB2312" w:hAnsi="仿宋_GB2312" w:eastAsia="仿宋_GB2312" w:cs="仿宋_GB2312"/>
                <w:sz w:val="28"/>
                <w:szCs w:val="28"/>
              </w:rPr>
              <w:t>300TB</w:t>
            </w:r>
          </w:p>
          <w:p w14:paraId="4861A45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并支持在线扩展</w:t>
            </w:r>
          </w:p>
        </w:tc>
        <w:tc>
          <w:tcPr>
            <w:tcW w:w="850" w:type="dxa"/>
            <w:vAlign w:val="center"/>
          </w:tcPr>
          <w:p w14:paraId="2F88C39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restart"/>
            <w:vAlign w:val="center"/>
          </w:tcPr>
          <w:p w14:paraId="654FED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政务云统一提供</w:t>
            </w:r>
          </w:p>
        </w:tc>
      </w:tr>
      <w:tr w14:paraId="37F2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30AF2AE">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28C1D3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备份资源</w:t>
            </w:r>
          </w:p>
        </w:tc>
        <w:tc>
          <w:tcPr>
            <w:tcW w:w="3686" w:type="dxa"/>
            <w:vAlign w:val="center"/>
          </w:tcPr>
          <w:p w14:paraId="430E6CF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支持对国产数据库进行备份</w:t>
            </w:r>
          </w:p>
          <w:p w14:paraId="58DF41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支持备份结构化数据和非结构化数据</w:t>
            </w:r>
          </w:p>
          <w:p w14:paraId="50DB7EA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支持通过删重或压缩来节省空间</w:t>
            </w:r>
          </w:p>
          <w:p w14:paraId="2A70549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可用容量≥6</w:t>
            </w:r>
            <w:r>
              <w:rPr>
                <w:rFonts w:ascii="仿宋_GB2312" w:hAnsi="仿宋_GB2312" w:eastAsia="仿宋_GB2312" w:cs="仿宋_GB2312"/>
                <w:sz w:val="28"/>
                <w:szCs w:val="28"/>
              </w:rPr>
              <w:t>00TB</w:t>
            </w:r>
            <w:r>
              <w:rPr>
                <w:rFonts w:hint="eastAsia" w:ascii="仿宋_GB2312" w:hAnsi="仿宋_GB2312" w:eastAsia="仿宋_GB2312" w:cs="仿宋_GB2312"/>
                <w:sz w:val="28"/>
                <w:szCs w:val="28"/>
              </w:rPr>
              <w:t>，并支持在线扩容</w:t>
            </w:r>
          </w:p>
        </w:tc>
        <w:tc>
          <w:tcPr>
            <w:tcW w:w="850" w:type="dxa"/>
            <w:vAlign w:val="center"/>
          </w:tcPr>
          <w:p w14:paraId="34BDC8A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334F39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p>
        </w:tc>
      </w:tr>
      <w:tr w14:paraId="46E2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87D92CA">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21DE91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安全和密码资源</w:t>
            </w:r>
          </w:p>
        </w:tc>
        <w:tc>
          <w:tcPr>
            <w:tcW w:w="3686" w:type="dxa"/>
            <w:vAlign w:val="center"/>
          </w:tcPr>
          <w:p w14:paraId="0C3E6CE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提供符合等级保护三级标准的安全防护资源。</w:t>
            </w:r>
          </w:p>
          <w:p w14:paraId="48F8C46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提供符合密码防护要求三级标准的密码防护资源</w:t>
            </w:r>
          </w:p>
        </w:tc>
        <w:tc>
          <w:tcPr>
            <w:tcW w:w="850" w:type="dxa"/>
            <w:vAlign w:val="center"/>
          </w:tcPr>
          <w:p w14:paraId="11C4B4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3BAD026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p>
        </w:tc>
      </w:tr>
      <w:tr w14:paraId="50C3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95F7D9D">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0CA936F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网络资源</w:t>
            </w:r>
          </w:p>
        </w:tc>
        <w:tc>
          <w:tcPr>
            <w:tcW w:w="3686" w:type="dxa"/>
            <w:vAlign w:val="center"/>
          </w:tcPr>
          <w:p w14:paraId="785AA36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提供电子政务外网（金保专网）连接，提供互联网连接</w:t>
            </w:r>
          </w:p>
          <w:p w14:paraId="5D98C3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cs="仿宋_GB2312"/>
                <w:sz w:val="28"/>
                <w:szCs w:val="28"/>
                <w:lang w:eastAsia="zh-CN"/>
              </w:rPr>
              <w:t>广域网</w:t>
            </w:r>
            <w:r>
              <w:rPr>
                <w:rFonts w:hint="eastAsia" w:ascii="仿宋_GB2312" w:hAnsi="仿宋_GB2312" w:eastAsia="仿宋_GB2312" w:cs="仿宋_GB2312"/>
                <w:sz w:val="28"/>
                <w:szCs w:val="28"/>
              </w:rPr>
              <w:t>提供安全隔离</w:t>
            </w:r>
          </w:p>
          <w:p w14:paraId="4DD829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局域网内部提供不低于1</w:t>
            </w:r>
            <w:r>
              <w:rPr>
                <w:rFonts w:ascii="仿宋_GB2312" w:hAnsi="仿宋_GB2312" w:eastAsia="仿宋_GB2312" w:cs="仿宋_GB2312"/>
                <w:sz w:val="28"/>
                <w:szCs w:val="28"/>
              </w:rPr>
              <w:t>0GE</w:t>
            </w:r>
            <w:r>
              <w:rPr>
                <w:rFonts w:hint="eastAsia" w:ascii="仿宋_GB2312" w:hAnsi="仿宋_GB2312" w:eastAsia="仿宋_GB2312" w:cs="仿宋_GB2312"/>
                <w:sz w:val="28"/>
                <w:szCs w:val="28"/>
              </w:rPr>
              <w:t>速率连接</w:t>
            </w:r>
          </w:p>
        </w:tc>
        <w:tc>
          <w:tcPr>
            <w:tcW w:w="850" w:type="dxa"/>
            <w:vAlign w:val="center"/>
          </w:tcPr>
          <w:p w14:paraId="5CC083B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59B65F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p>
        </w:tc>
      </w:tr>
      <w:tr w14:paraId="2240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E37BF7C">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kern w:val="2"/>
                <w:sz w:val="28"/>
                <w:szCs w:val="28"/>
                <w:lang w:val="en-US" w:eastAsia="zh-CN" w:bidi="ar-SA"/>
              </w:rPr>
            </w:pPr>
          </w:p>
        </w:tc>
        <w:tc>
          <w:tcPr>
            <w:tcW w:w="1984" w:type="dxa"/>
            <w:vAlign w:val="center"/>
          </w:tcPr>
          <w:p w14:paraId="2FA392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系统软件</w:t>
            </w:r>
          </w:p>
        </w:tc>
        <w:tc>
          <w:tcPr>
            <w:tcW w:w="3686" w:type="dxa"/>
            <w:vAlign w:val="center"/>
          </w:tcPr>
          <w:p w14:paraId="393C7C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国产分布式数据库</w:t>
            </w:r>
          </w:p>
          <w:p w14:paraId="4F1685A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国产M</w:t>
            </w:r>
            <w:r>
              <w:rPr>
                <w:rFonts w:ascii="仿宋_GB2312" w:hAnsi="仿宋_GB2312" w:eastAsia="仿宋_GB2312" w:cs="仿宋_GB2312"/>
                <w:sz w:val="28"/>
                <w:szCs w:val="28"/>
              </w:rPr>
              <w:t>PP</w:t>
            </w:r>
            <w:r>
              <w:rPr>
                <w:rFonts w:hint="eastAsia" w:ascii="仿宋_GB2312" w:hAnsi="仿宋_GB2312" w:eastAsia="仿宋_GB2312" w:cs="仿宋_GB2312"/>
                <w:sz w:val="28"/>
                <w:szCs w:val="28"/>
              </w:rPr>
              <w:t>分析型数据库</w:t>
            </w:r>
          </w:p>
          <w:p w14:paraId="6A8A9E5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国产操作系统</w:t>
            </w:r>
          </w:p>
          <w:p w14:paraId="23D5214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国产中间件</w:t>
            </w:r>
          </w:p>
          <w:p w14:paraId="6BC535A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国产数据同步工具</w:t>
            </w:r>
          </w:p>
        </w:tc>
        <w:tc>
          <w:tcPr>
            <w:tcW w:w="850" w:type="dxa"/>
            <w:vAlign w:val="center"/>
          </w:tcPr>
          <w:p w14:paraId="4A783E0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62125D5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p>
        </w:tc>
      </w:tr>
    </w:tbl>
    <w:p w14:paraId="42305BFA">
      <w:pPr>
        <w:pStyle w:val="8"/>
        <w:numPr>
          <w:ilvl w:val="-1"/>
          <w:numId w:val="0"/>
          <w:ins w:id="6" w:author="ysgz" w:date=""/>
        </w:numPr>
        <w:bidi w:val="0"/>
        <w:ind w:left="0" w:leftChars="0" w:firstLine="643" w:firstLineChars="200"/>
        <w:rPr>
          <w:rFonts w:hint="eastAsia"/>
          <w:lang w:val="en-US" w:eastAsia="zh-CN"/>
        </w:rPr>
      </w:pPr>
      <w:r>
        <w:rPr>
          <w:rFonts w:hint="eastAsia"/>
          <w:lang w:val="en-US" w:eastAsia="zh-CN"/>
        </w:rPr>
        <w:t>c.国产化适配</w:t>
      </w:r>
      <w:r>
        <w:rPr>
          <w:rFonts w:hint="default"/>
          <w:lang w:eastAsia="zh-CN"/>
        </w:rPr>
        <w:t>软件改造内容</w:t>
      </w:r>
    </w:p>
    <w:p w14:paraId="3B3909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本次国产化改造，涉及内容如下：</w:t>
      </w:r>
    </w:p>
    <w:p w14:paraId="56A156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部下发业务中台（包括基础信息中心、登记变更中心、征收缴费中心、金融支付中心、基金财务中心、电子材料中心、政策参数中心、风控预警中心、关系转移中心、业务事项中心、待遇核发中心、运行监测中心、注册中心），涉及约800余个服务。</w:t>
      </w:r>
    </w:p>
    <w:p w14:paraId="17E705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省级业务中台（包括账务中心、参数中心、财务中心、待遇中心、转移平台、关系中心、查询中心），涉及约2500余个服务。</w:t>
      </w:r>
    </w:p>
    <w:p w14:paraId="25071B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default" w:ascii="仿宋_GB2312" w:hAnsi="仿宋_GB2312" w:eastAsia="仿宋_GB2312" w:cs="仿宋_GB2312"/>
          <w:strike w:val="0"/>
          <w:dstrike w:val="0"/>
          <w:color w:val="auto"/>
          <w:sz w:val="32"/>
          <w:szCs w:val="32"/>
          <w:lang w:val="en-US" w:eastAsia="zh-CN"/>
        </w:rPr>
        <w:t>贵州省社保三险合一系统</w:t>
      </w:r>
      <w:r>
        <w:rPr>
          <w:rFonts w:hint="eastAsia" w:ascii="仿宋_GB2312" w:hAnsi="仿宋_GB2312" w:eastAsia="仿宋_GB2312" w:cs="仿宋_GB2312"/>
          <w:strike w:val="0"/>
          <w:dstrike w:val="0"/>
          <w:color w:val="auto"/>
          <w:sz w:val="32"/>
          <w:szCs w:val="32"/>
          <w:lang w:val="en-US" w:eastAsia="zh-CN"/>
        </w:rPr>
        <w:t>（包括社保统一门户、消息通知平台、贵州省三险合一社会保险信息系统、综合受理平台、流程服务平台、全省自助服务一体机、贵州省社保稽核内控管理系统、业务档案一体化系统、电子影像管理系统、贵州省社保统计报表系统、贵州省社会保险服务标准化梳理系统、社会保险运维服务平台、贵州省数据运维工具、养老保险全国统筹数据安全运维管理系统、服务运行监控系统、应用发布管理系统、运行监控分析系统、社保专用浏览器等、贵州省社税共享交换平台、服务集成平台、贵州省社会保险事业局待遇资格认证管理平台、贵州省数字社保总览、贵州省社保数据治理平台、社银一体化、贵州省人力资源社会保障电子印章管理信息系统、贵州省社会保险事业局异地业务协同平台、全民参保系统、贵州省社会保险基金全程电子化系统等30余个子系统），涉及约2000余个功能。</w:t>
      </w:r>
    </w:p>
    <w:p w14:paraId="29560A7D">
      <w:pPr>
        <w:pStyle w:val="7"/>
        <w:numPr>
          <w:ilvl w:val="-1"/>
          <w:numId w:val="0"/>
        </w:numPr>
        <w:bidi w:val="0"/>
        <w:ind w:firstLine="643" w:firstLineChars="200"/>
        <w:rPr>
          <w:rFonts w:hint="eastAsia" w:cs="仿宋_GB2312"/>
          <w:color w:val="auto"/>
          <w:szCs w:val="32"/>
          <w:lang w:val="en-US" w:eastAsia="zh-CN"/>
        </w:rPr>
      </w:pPr>
      <w:r>
        <w:rPr>
          <w:rFonts w:hint="eastAsia" w:cs="仿宋_GB2312"/>
          <w:color w:val="auto"/>
          <w:szCs w:val="32"/>
          <w:lang w:val="en-US" w:eastAsia="zh-CN"/>
        </w:rPr>
        <w:t>（2）贵州省机关保及职业年金系统</w:t>
      </w:r>
    </w:p>
    <w:p w14:paraId="2FEDA2D2">
      <w:pPr>
        <w:pStyle w:val="8"/>
        <w:numPr>
          <w:ilvl w:val="-1"/>
          <w:numId w:val="0"/>
          <w:ins w:id="7" w:author="ysgz" w:date=""/>
        </w:numPr>
        <w:bidi w:val="0"/>
        <w:ind w:left="0" w:leftChars="0" w:firstLine="643" w:firstLineChars="200"/>
        <w:rPr>
          <w:rFonts w:hint="eastAsia"/>
          <w:lang w:val="en-US" w:eastAsia="zh-CN"/>
        </w:rPr>
      </w:pPr>
      <w:r>
        <w:rPr>
          <w:rFonts w:hint="eastAsia"/>
          <w:lang w:val="en-US" w:eastAsia="zh-CN"/>
        </w:rPr>
        <w:t>a.系统现状</w:t>
      </w:r>
    </w:p>
    <w:p w14:paraId="0EB02E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贵州省机关保及职业年金系统部署在人社厅数据中心，在</w:t>
      </w:r>
      <w:r>
        <w:rPr>
          <w:rFonts w:hint="eastAsia" w:cs="仿宋_GB2312"/>
          <w:strike w:val="0"/>
          <w:dstrike w:val="0"/>
          <w:color w:val="auto"/>
          <w:sz w:val="32"/>
          <w:szCs w:val="32"/>
          <w:lang w:val="en-US" w:eastAsia="zh-CN"/>
        </w:rPr>
        <w:t>金保专网</w:t>
      </w:r>
      <w:r>
        <w:rPr>
          <w:rFonts w:hint="eastAsia" w:ascii="仿宋_GB2312" w:hAnsi="仿宋_GB2312" w:eastAsia="仿宋_GB2312" w:cs="仿宋_GB2312"/>
          <w:strike w:val="0"/>
          <w:dstrike w:val="0"/>
          <w:color w:val="auto"/>
          <w:sz w:val="32"/>
          <w:szCs w:val="32"/>
          <w:lang w:val="en-US" w:eastAsia="zh-CN"/>
        </w:rPr>
        <w:t>运行。系统采用BS架构，采用的数据库为Oracle 19c和mysql8.0.30，数据库操作系统为Red Hat Enterprise Linux Server 7.9。</w:t>
      </w:r>
      <w:r>
        <w:rPr>
          <w:rFonts w:hint="eastAsia" w:cs="仿宋_GB2312"/>
          <w:strike w:val="0"/>
          <w:dstrike w:val="0"/>
          <w:color w:val="auto"/>
          <w:sz w:val="32"/>
          <w:szCs w:val="32"/>
          <w:lang w:val="en-US" w:eastAsia="zh-CN"/>
        </w:rPr>
        <w:t>截至</w:t>
      </w:r>
      <w:r>
        <w:rPr>
          <w:rFonts w:hint="eastAsia" w:ascii="仿宋_GB2312" w:hAnsi="仿宋_GB2312" w:eastAsia="仿宋_GB2312" w:cs="仿宋_GB2312"/>
          <w:strike w:val="0"/>
          <w:dstrike w:val="0"/>
          <w:color w:val="auto"/>
          <w:sz w:val="32"/>
          <w:szCs w:val="32"/>
          <w:lang w:val="en-US" w:eastAsia="zh-CN"/>
        </w:rPr>
        <w:t>目前，系统共计有约1000名注册用户。</w:t>
      </w:r>
    </w:p>
    <w:p w14:paraId="17375ABC">
      <w:pPr>
        <w:pStyle w:val="1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贵州省机关保及职业年金系统部署在人社厅，在人社内网区运行。系统采用BS架构，采用的数据库为Oracle 19c，数据库服务器操作系统为Red Hat Enterprise Linux Server 7.9。</w:t>
      </w:r>
    </w:p>
    <w:p w14:paraId="53C1796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应用服务器配置及数量描述</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1"/>
        <w:gridCol w:w="1182"/>
        <w:gridCol w:w="3713"/>
        <w:gridCol w:w="1057"/>
        <w:gridCol w:w="1057"/>
        <w:gridCol w:w="1486"/>
      </w:tblGrid>
      <w:tr w14:paraId="60F2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21DD6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b/>
                <w:color w:val="000000"/>
                <w:kern w:val="0"/>
                <w:sz w:val="28"/>
                <w:szCs w:val="28"/>
              </w:rPr>
            </w:pPr>
            <w:r>
              <w:rPr>
                <w:rFonts w:hint="eastAsia" w:hAnsi="宋体" w:cs="仿宋_GB2312"/>
                <w:b/>
                <w:color w:val="000000"/>
                <w:kern w:val="0"/>
                <w:sz w:val="28"/>
                <w:szCs w:val="28"/>
                <w:lang w:bidi="ar"/>
              </w:rPr>
              <w:t>序号</w:t>
            </w:r>
          </w:p>
        </w:tc>
        <w:tc>
          <w:tcPr>
            <w:tcW w:w="652" w:type="pct"/>
            <w:tcBorders>
              <w:top w:val="single" w:color="000000" w:sz="8" w:space="0"/>
              <w:left w:val="nil"/>
              <w:bottom w:val="single" w:color="000000" w:sz="8" w:space="0"/>
              <w:right w:val="single" w:color="000000" w:sz="8" w:space="0"/>
              <w:tl2br w:val="nil"/>
              <w:tr2bl w:val="nil"/>
            </w:tcBorders>
            <w:noWrap w:val="0"/>
            <w:vAlign w:val="center"/>
          </w:tcPr>
          <w:p w14:paraId="5BBC0BB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b/>
                <w:color w:val="000000"/>
                <w:kern w:val="0"/>
                <w:sz w:val="28"/>
                <w:szCs w:val="28"/>
              </w:rPr>
            </w:pPr>
            <w:r>
              <w:rPr>
                <w:rFonts w:hint="eastAsia" w:hAnsi="宋体" w:cs="仿宋_GB2312"/>
                <w:b/>
                <w:color w:val="000000"/>
                <w:kern w:val="0"/>
                <w:sz w:val="28"/>
                <w:szCs w:val="28"/>
                <w:lang w:bidi="ar"/>
              </w:rPr>
              <w:t>数量（台）</w:t>
            </w:r>
          </w:p>
        </w:tc>
        <w:tc>
          <w:tcPr>
            <w:tcW w:w="2049" w:type="pct"/>
            <w:tcBorders>
              <w:top w:val="single" w:color="000000" w:sz="8" w:space="0"/>
              <w:left w:val="nil"/>
              <w:bottom w:val="single" w:color="000000" w:sz="8" w:space="0"/>
              <w:right w:val="single" w:color="000000" w:sz="8" w:space="0"/>
              <w:tl2br w:val="nil"/>
              <w:tr2bl w:val="nil"/>
            </w:tcBorders>
            <w:noWrap w:val="0"/>
            <w:vAlign w:val="center"/>
          </w:tcPr>
          <w:p w14:paraId="5AB9AA0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b/>
                <w:color w:val="000000"/>
                <w:kern w:val="0"/>
                <w:sz w:val="28"/>
                <w:szCs w:val="28"/>
              </w:rPr>
            </w:pPr>
            <w:r>
              <w:rPr>
                <w:rFonts w:hint="eastAsia" w:hAnsi="宋体" w:cs="仿宋_GB2312"/>
                <w:b/>
                <w:color w:val="000000"/>
                <w:kern w:val="0"/>
                <w:sz w:val="28"/>
                <w:szCs w:val="28"/>
                <w:lang w:bidi="ar"/>
              </w:rPr>
              <w:t>配置</w:t>
            </w:r>
          </w:p>
        </w:tc>
        <w:tc>
          <w:tcPr>
            <w:tcW w:w="583" w:type="pct"/>
            <w:tcBorders>
              <w:top w:val="single" w:color="000000" w:sz="8" w:space="0"/>
              <w:left w:val="nil"/>
              <w:bottom w:val="single" w:color="000000" w:sz="8" w:space="0"/>
              <w:right w:val="single" w:color="000000" w:sz="8" w:space="0"/>
              <w:tl2br w:val="nil"/>
              <w:tr2bl w:val="nil"/>
            </w:tcBorders>
            <w:noWrap w:val="0"/>
            <w:vAlign w:val="center"/>
          </w:tcPr>
          <w:p w14:paraId="49D76AE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default" w:hAnsi="宋体" w:eastAsia="仿宋_GB2312" w:cs="仿宋_GB2312"/>
                <w:b/>
                <w:color w:val="000000"/>
                <w:kern w:val="0"/>
                <w:sz w:val="28"/>
                <w:szCs w:val="28"/>
                <w:lang w:val="en-US" w:eastAsia="zh-CN" w:bidi="ar"/>
              </w:rPr>
            </w:pPr>
            <w:r>
              <w:rPr>
                <w:rFonts w:hint="eastAsia" w:hAnsi="宋体" w:cs="仿宋_GB2312"/>
                <w:b/>
                <w:color w:val="000000"/>
                <w:kern w:val="0"/>
                <w:sz w:val="28"/>
                <w:szCs w:val="28"/>
                <w:lang w:val="en-US" w:eastAsia="zh-CN" w:bidi="ar"/>
              </w:rPr>
              <w:t>部署区域</w:t>
            </w:r>
          </w:p>
        </w:tc>
        <w:tc>
          <w:tcPr>
            <w:tcW w:w="583" w:type="pct"/>
            <w:tcBorders>
              <w:top w:val="single" w:color="000000" w:sz="8" w:space="0"/>
              <w:left w:val="nil"/>
              <w:bottom w:val="single" w:color="000000" w:sz="8" w:space="0"/>
              <w:right w:val="single" w:color="000000" w:sz="8" w:space="0"/>
              <w:tl2br w:val="nil"/>
              <w:tr2bl w:val="nil"/>
            </w:tcBorders>
            <w:noWrap w:val="0"/>
            <w:vAlign w:val="center"/>
          </w:tcPr>
          <w:p w14:paraId="0A1C0C9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default" w:hAnsi="宋体" w:cs="仿宋_GB2312"/>
                <w:b/>
                <w:color w:val="000000"/>
                <w:kern w:val="0"/>
                <w:sz w:val="28"/>
                <w:szCs w:val="28"/>
                <w:lang w:val="en-US"/>
              </w:rPr>
            </w:pPr>
            <w:r>
              <w:rPr>
                <w:rFonts w:hint="eastAsia" w:hAnsi="宋体" w:cs="仿宋_GB2312"/>
                <w:b/>
                <w:color w:val="000000"/>
                <w:kern w:val="0"/>
                <w:sz w:val="28"/>
                <w:szCs w:val="28"/>
                <w:lang w:val="en-US" w:eastAsia="zh-CN" w:bidi="ar"/>
              </w:rPr>
              <w:t>运行网络</w:t>
            </w:r>
          </w:p>
        </w:tc>
        <w:tc>
          <w:tcPr>
            <w:tcW w:w="820" w:type="pct"/>
            <w:tcBorders>
              <w:top w:val="single" w:color="000000" w:sz="8" w:space="0"/>
              <w:left w:val="nil"/>
              <w:bottom w:val="single" w:color="000000" w:sz="8" w:space="0"/>
              <w:right w:val="single" w:color="000000" w:sz="8" w:space="0"/>
              <w:tl2br w:val="nil"/>
              <w:tr2bl w:val="nil"/>
            </w:tcBorders>
            <w:noWrap w:val="0"/>
            <w:vAlign w:val="center"/>
          </w:tcPr>
          <w:p w14:paraId="50AB2F1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b/>
                <w:color w:val="000000"/>
                <w:kern w:val="0"/>
                <w:sz w:val="28"/>
                <w:szCs w:val="28"/>
              </w:rPr>
            </w:pPr>
            <w:r>
              <w:rPr>
                <w:rFonts w:hint="eastAsia" w:hAnsi="宋体" w:cs="仿宋_GB2312"/>
                <w:b/>
                <w:color w:val="000000"/>
                <w:kern w:val="0"/>
                <w:sz w:val="28"/>
                <w:szCs w:val="28"/>
                <w:lang w:bidi="ar"/>
              </w:rPr>
              <w:t>备注</w:t>
            </w:r>
          </w:p>
        </w:tc>
      </w:tr>
      <w:tr w14:paraId="2D17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2B3EC9F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652" w:type="pct"/>
            <w:tcBorders>
              <w:top w:val="nil"/>
              <w:left w:val="nil"/>
              <w:bottom w:val="single" w:color="000000" w:sz="8" w:space="0"/>
              <w:right w:val="single" w:color="000000" w:sz="8" w:space="0"/>
              <w:tl2br w:val="nil"/>
              <w:tr2bl w:val="nil"/>
            </w:tcBorders>
            <w:noWrap w:val="0"/>
            <w:vAlign w:val="top"/>
          </w:tcPr>
          <w:p w14:paraId="49C3A29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21</w:t>
            </w:r>
          </w:p>
        </w:tc>
        <w:tc>
          <w:tcPr>
            <w:tcW w:w="2049" w:type="pct"/>
            <w:tcBorders>
              <w:top w:val="nil"/>
              <w:left w:val="nil"/>
              <w:bottom w:val="single" w:color="000000" w:sz="8" w:space="0"/>
              <w:right w:val="single" w:color="000000" w:sz="8" w:space="0"/>
              <w:tl2br w:val="nil"/>
              <w:tr2bl w:val="nil"/>
            </w:tcBorders>
            <w:noWrap w:val="0"/>
            <w:vAlign w:val="top"/>
          </w:tcPr>
          <w:p w14:paraId="31E6CC3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GB；存储：200 GB</w:t>
            </w:r>
          </w:p>
        </w:tc>
        <w:tc>
          <w:tcPr>
            <w:tcW w:w="583" w:type="pct"/>
            <w:vMerge w:val="restart"/>
            <w:tcBorders>
              <w:top w:val="nil"/>
              <w:left w:val="nil"/>
              <w:right w:val="single" w:color="000000" w:sz="8" w:space="0"/>
              <w:tl2br w:val="nil"/>
              <w:tr2bl w:val="nil"/>
            </w:tcBorders>
            <w:noWrap w:val="0"/>
            <w:vAlign w:val="top"/>
          </w:tcPr>
          <w:p w14:paraId="186D527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lang w:bidi="ar"/>
              </w:rPr>
            </w:pPr>
            <w:r>
              <w:rPr>
                <w:rFonts w:hint="eastAsia" w:hAnsi="宋体" w:cs="仿宋_GB2312"/>
                <w:color w:val="000000"/>
                <w:kern w:val="0"/>
                <w:sz w:val="28"/>
                <w:szCs w:val="28"/>
                <w:lang w:bidi="ar"/>
              </w:rPr>
              <w:t>人社厅数据中心</w:t>
            </w:r>
          </w:p>
        </w:tc>
        <w:tc>
          <w:tcPr>
            <w:tcW w:w="583" w:type="pct"/>
            <w:vMerge w:val="restart"/>
            <w:tcBorders>
              <w:top w:val="nil"/>
              <w:left w:val="nil"/>
              <w:bottom w:val="single" w:color="000000" w:sz="8" w:space="0"/>
              <w:right w:val="single" w:color="000000" w:sz="8" w:space="0"/>
              <w:tl2br w:val="nil"/>
              <w:tr2bl w:val="nil"/>
            </w:tcBorders>
            <w:noWrap w:val="0"/>
            <w:vAlign w:val="top"/>
          </w:tcPr>
          <w:p w14:paraId="6CDA3DE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lang w:val="en-US" w:eastAsia="zh-CN" w:bidi="ar"/>
              </w:rPr>
            </w:pPr>
            <w:r>
              <w:rPr>
                <w:rFonts w:hint="eastAsia" w:hAnsi="宋体" w:cs="仿宋_GB2312"/>
                <w:color w:val="000000"/>
                <w:kern w:val="0"/>
                <w:sz w:val="28"/>
                <w:szCs w:val="28"/>
                <w:lang w:val="en-US" w:eastAsia="zh-CN" w:bidi="ar"/>
              </w:rPr>
              <w:t>金保网/电子政务外网</w:t>
            </w:r>
          </w:p>
        </w:tc>
        <w:tc>
          <w:tcPr>
            <w:tcW w:w="820" w:type="pct"/>
            <w:vMerge w:val="restart"/>
            <w:tcBorders>
              <w:top w:val="nil"/>
              <w:left w:val="nil"/>
              <w:bottom w:val="single" w:color="000000" w:sz="8" w:space="0"/>
              <w:right w:val="single" w:color="000000" w:sz="8" w:space="0"/>
              <w:tl2br w:val="nil"/>
              <w:tr2bl w:val="nil"/>
            </w:tcBorders>
            <w:noWrap w:val="0"/>
            <w:vAlign w:val="center"/>
          </w:tcPr>
          <w:p w14:paraId="20BE8ED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hAnsi="宋体" w:cs="仿宋_GB2312"/>
                <w:color w:val="000000"/>
                <w:kern w:val="0"/>
                <w:sz w:val="28"/>
                <w:szCs w:val="28"/>
              </w:rPr>
            </w:pPr>
            <w:r>
              <w:rPr>
                <w:rFonts w:hint="eastAsia" w:hAnsi="宋体" w:cs="仿宋_GB2312"/>
                <w:color w:val="000000"/>
                <w:kern w:val="0"/>
                <w:sz w:val="28"/>
                <w:szCs w:val="28"/>
                <w:lang w:bidi="ar"/>
              </w:rPr>
              <w:t>基础支撑服务</w:t>
            </w:r>
          </w:p>
        </w:tc>
      </w:tr>
      <w:tr w14:paraId="61AC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2A606D17">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2</w:t>
            </w:r>
          </w:p>
        </w:tc>
        <w:tc>
          <w:tcPr>
            <w:tcW w:w="652" w:type="pct"/>
            <w:tcBorders>
              <w:top w:val="nil"/>
              <w:left w:val="nil"/>
              <w:bottom w:val="single" w:color="000000" w:sz="8" w:space="0"/>
              <w:right w:val="single" w:color="000000" w:sz="8" w:space="0"/>
              <w:tl2br w:val="nil"/>
              <w:tr2bl w:val="nil"/>
            </w:tcBorders>
            <w:noWrap w:val="0"/>
            <w:vAlign w:val="top"/>
          </w:tcPr>
          <w:p w14:paraId="156448F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3</w:t>
            </w:r>
          </w:p>
        </w:tc>
        <w:tc>
          <w:tcPr>
            <w:tcW w:w="2049" w:type="pct"/>
            <w:tcBorders>
              <w:top w:val="nil"/>
              <w:left w:val="nil"/>
              <w:bottom w:val="single" w:color="000000" w:sz="8" w:space="0"/>
              <w:right w:val="single" w:color="000000" w:sz="8" w:space="0"/>
              <w:tl2br w:val="nil"/>
              <w:tr2bl w:val="nil"/>
            </w:tcBorders>
            <w:noWrap w:val="0"/>
            <w:vAlign w:val="top"/>
          </w:tcPr>
          <w:p w14:paraId="4F28F7C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核；内存：64GB；磁盘：100 GB；存储：200 GB</w:t>
            </w:r>
          </w:p>
        </w:tc>
        <w:tc>
          <w:tcPr>
            <w:tcW w:w="583" w:type="pct"/>
            <w:vMerge w:val="continue"/>
            <w:tcBorders>
              <w:left w:val="nil"/>
              <w:right w:val="single" w:color="000000" w:sz="8" w:space="0"/>
              <w:tl2br w:val="nil"/>
              <w:tr2bl w:val="nil"/>
            </w:tcBorders>
            <w:noWrap w:val="0"/>
            <w:vAlign w:val="top"/>
          </w:tcPr>
          <w:p w14:paraId="699373D5">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17E70010">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vMerge w:val="continue"/>
            <w:tcBorders>
              <w:top w:val="nil"/>
              <w:left w:val="nil"/>
              <w:bottom w:val="single" w:color="000000" w:sz="8" w:space="0"/>
              <w:right w:val="single" w:color="000000" w:sz="8" w:space="0"/>
              <w:tl2br w:val="nil"/>
              <w:tr2bl w:val="nil"/>
            </w:tcBorders>
            <w:noWrap w:val="0"/>
            <w:vAlign w:val="center"/>
          </w:tcPr>
          <w:p w14:paraId="6DAC453F">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r>
      <w:tr w14:paraId="1DB8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25C7DF0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3</w:t>
            </w:r>
          </w:p>
        </w:tc>
        <w:tc>
          <w:tcPr>
            <w:tcW w:w="652" w:type="pct"/>
            <w:tcBorders>
              <w:top w:val="nil"/>
              <w:left w:val="nil"/>
              <w:bottom w:val="single" w:color="000000" w:sz="8" w:space="0"/>
              <w:right w:val="single" w:color="000000" w:sz="8" w:space="0"/>
              <w:tl2br w:val="nil"/>
              <w:tr2bl w:val="nil"/>
            </w:tcBorders>
            <w:noWrap w:val="0"/>
            <w:vAlign w:val="top"/>
          </w:tcPr>
          <w:p w14:paraId="708E871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38</w:t>
            </w:r>
          </w:p>
        </w:tc>
        <w:tc>
          <w:tcPr>
            <w:tcW w:w="2049" w:type="pct"/>
            <w:tcBorders>
              <w:top w:val="nil"/>
              <w:left w:val="nil"/>
              <w:bottom w:val="single" w:color="000000" w:sz="8" w:space="0"/>
              <w:right w:val="single" w:color="000000" w:sz="8" w:space="0"/>
              <w:tl2br w:val="nil"/>
              <w:tr2bl w:val="nil"/>
            </w:tcBorders>
            <w:noWrap w:val="0"/>
            <w:vAlign w:val="top"/>
          </w:tcPr>
          <w:p w14:paraId="7A44F5F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GB；存储：200 GB</w:t>
            </w:r>
          </w:p>
        </w:tc>
        <w:tc>
          <w:tcPr>
            <w:tcW w:w="583" w:type="pct"/>
            <w:vMerge w:val="continue"/>
            <w:tcBorders>
              <w:left w:val="nil"/>
              <w:right w:val="single" w:color="000000" w:sz="8" w:space="0"/>
              <w:tl2br w:val="nil"/>
              <w:tr2bl w:val="nil"/>
            </w:tcBorders>
            <w:noWrap w:val="0"/>
            <w:vAlign w:val="top"/>
          </w:tcPr>
          <w:p w14:paraId="60DADFC1">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38AA840E">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center"/>
          </w:tcPr>
          <w:p w14:paraId="1DED9267">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hAnsi="宋体" w:cs="仿宋_GB2312"/>
                <w:color w:val="000000"/>
                <w:kern w:val="0"/>
                <w:sz w:val="28"/>
                <w:szCs w:val="28"/>
              </w:rPr>
            </w:pPr>
            <w:r>
              <w:rPr>
                <w:rFonts w:hint="eastAsia" w:hAnsi="宋体" w:cs="仿宋_GB2312"/>
                <w:color w:val="000000"/>
                <w:kern w:val="0"/>
                <w:sz w:val="28"/>
                <w:szCs w:val="28"/>
                <w:lang w:bidi="ar"/>
              </w:rPr>
              <w:t>业务中台</w:t>
            </w:r>
          </w:p>
        </w:tc>
      </w:tr>
      <w:tr w14:paraId="639D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01DC50F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4</w:t>
            </w:r>
          </w:p>
        </w:tc>
        <w:tc>
          <w:tcPr>
            <w:tcW w:w="652" w:type="pct"/>
            <w:tcBorders>
              <w:top w:val="nil"/>
              <w:left w:val="nil"/>
              <w:bottom w:val="single" w:color="000000" w:sz="8" w:space="0"/>
              <w:right w:val="single" w:color="000000" w:sz="8" w:space="0"/>
              <w:tl2br w:val="nil"/>
              <w:tr2bl w:val="nil"/>
            </w:tcBorders>
            <w:noWrap w:val="0"/>
            <w:vAlign w:val="top"/>
          </w:tcPr>
          <w:p w14:paraId="4F4C641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20</w:t>
            </w:r>
          </w:p>
        </w:tc>
        <w:tc>
          <w:tcPr>
            <w:tcW w:w="2049" w:type="pct"/>
            <w:tcBorders>
              <w:top w:val="nil"/>
              <w:left w:val="nil"/>
              <w:bottom w:val="single" w:color="000000" w:sz="8" w:space="0"/>
              <w:right w:val="single" w:color="000000" w:sz="8" w:space="0"/>
              <w:tl2br w:val="nil"/>
              <w:tr2bl w:val="nil"/>
            </w:tcBorders>
            <w:noWrap w:val="0"/>
            <w:vAlign w:val="top"/>
          </w:tcPr>
          <w:p w14:paraId="7A164F9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GB；存储：200 GB</w:t>
            </w:r>
          </w:p>
        </w:tc>
        <w:tc>
          <w:tcPr>
            <w:tcW w:w="583" w:type="pct"/>
            <w:vMerge w:val="continue"/>
            <w:tcBorders>
              <w:left w:val="nil"/>
              <w:right w:val="single" w:color="000000" w:sz="8" w:space="0"/>
              <w:tl2br w:val="nil"/>
              <w:tr2bl w:val="nil"/>
            </w:tcBorders>
            <w:noWrap w:val="0"/>
            <w:vAlign w:val="top"/>
          </w:tcPr>
          <w:p w14:paraId="713DE270">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01242C5C">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center"/>
          </w:tcPr>
          <w:p w14:paraId="4537463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hAnsi="宋体" w:cs="仿宋_GB2312"/>
                <w:color w:val="000000"/>
                <w:kern w:val="0"/>
                <w:sz w:val="28"/>
                <w:szCs w:val="28"/>
              </w:rPr>
            </w:pPr>
            <w:r>
              <w:rPr>
                <w:rFonts w:hint="eastAsia" w:hAnsi="宋体" w:cs="仿宋_GB2312"/>
                <w:color w:val="000000"/>
                <w:kern w:val="0"/>
                <w:sz w:val="28"/>
                <w:szCs w:val="28"/>
                <w:lang w:bidi="ar"/>
              </w:rPr>
              <w:t>统筹中台</w:t>
            </w:r>
          </w:p>
        </w:tc>
      </w:tr>
      <w:tr w14:paraId="71C1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34FF575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5</w:t>
            </w:r>
          </w:p>
        </w:tc>
        <w:tc>
          <w:tcPr>
            <w:tcW w:w="652" w:type="pct"/>
            <w:tcBorders>
              <w:top w:val="nil"/>
              <w:left w:val="nil"/>
              <w:bottom w:val="single" w:color="000000" w:sz="8" w:space="0"/>
              <w:right w:val="single" w:color="000000" w:sz="8" w:space="0"/>
              <w:tl2br w:val="nil"/>
              <w:tr2bl w:val="nil"/>
            </w:tcBorders>
            <w:noWrap w:val="0"/>
            <w:vAlign w:val="top"/>
          </w:tcPr>
          <w:p w14:paraId="04A59A97">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6</w:t>
            </w:r>
          </w:p>
        </w:tc>
        <w:tc>
          <w:tcPr>
            <w:tcW w:w="2049" w:type="pct"/>
            <w:tcBorders>
              <w:top w:val="nil"/>
              <w:left w:val="nil"/>
              <w:bottom w:val="single" w:color="000000" w:sz="8" w:space="0"/>
              <w:right w:val="single" w:color="000000" w:sz="8" w:space="0"/>
              <w:tl2br w:val="nil"/>
              <w:tr2bl w:val="nil"/>
            </w:tcBorders>
            <w:noWrap w:val="0"/>
            <w:vAlign w:val="top"/>
          </w:tcPr>
          <w:p w14:paraId="283B4C0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CPU:8 核；内存：16 GB；磁盘：60 GB；存储：200 GB</w:t>
            </w:r>
          </w:p>
        </w:tc>
        <w:tc>
          <w:tcPr>
            <w:tcW w:w="583" w:type="pct"/>
            <w:vMerge w:val="continue"/>
            <w:tcBorders>
              <w:left w:val="nil"/>
              <w:right w:val="single" w:color="000000" w:sz="8" w:space="0"/>
              <w:tl2br w:val="nil"/>
              <w:tr2bl w:val="nil"/>
            </w:tcBorders>
            <w:noWrap w:val="0"/>
            <w:vAlign w:val="top"/>
          </w:tcPr>
          <w:p w14:paraId="4F6ADFFE">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4F6D7F90">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center"/>
          </w:tcPr>
          <w:p w14:paraId="4E6A57A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center"/>
              <w:rPr>
                <w:rFonts w:hint="eastAsia" w:hAnsi="宋体" w:cs="仿宋_GB2312"/>
                <w:color w:val="000000"/>
                <w:kern w:val="0"/>
                <w:sz w:val="28"/>
                <w:szCs w:val="28"/>
              </w:rPr>
            </w:pPr>
            <w:r>
              <w:rPr>
                <w:rFonts w:hint="eastAsia" w:hAnsi="宋体" w:cs="仿宋_GB2312"/>
                <w:color w:val="000000"/>
                <w:kern w:val="0"/>
                <w:sz w:val="28"/>
                <w:szCs w:val="28"/>
                <w:lang w:bidi="ar"/>
              </w:rPr>
              <w:t>税务征收前置服务</w:t>
            </w:r>
          </w:p>
        </w:tc>
      </w:tr>
      <w:tr w14:paraId="28B1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66D5F19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6</w:t>
            </w:r>
          </w:p>
        </w:tc>
        <w:tc>
          <w:tcPr>
            <w:tcW w:w="652" w:type="pct"/>
            <w:tcBorders>
              <w:top w:val="nil"/>
              <w:left w:val="nil"/>
              <w:bottom w:val="single" w:color="000000" w:sz="8" w:space="0"/>
              <w:right w:val="single" w:color="000000" w:sz="8" w:space="0"/>
              <w:tl2br w:val="nil"/>
              <w:tr2bl w:val="nil"/>
            </w:tcBorders>
            <w:noWrap w:val="0"/>
            <w:vAlign w:val="top"/>
          </w:tcPr>
          <w:p w14:paraId="494A6F9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2</w:t>
            </w:r>
          </w:p>
        </w:tc>
        <w:tc>
          <w:tcPr>
            <w:tcW w:w="2049" w:type="pct"/>
            <w:tcBorders>
              <w:top w:val="nil"/>
              <w:left w:val="nil"/>
              <w:bottom w:val="single" w:color="000000" w:sz="8" w:space="0"/>
              <w:right w:val="single" w:color="000000" w:sz="8" w:space="0"/>
              <w:tl2br w:val="nil"/>
              <w:tr2bl w:val="nil"/>
            </w:tcBorders>
            <w:noWrap w:val="0"/>
            <w:vAlign w:val="top"/>
          </w:tcPr>
          <w:p w14:paraId="7DB439C7">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GB；存储：200 GB</w:t>
            </w:r>
          </w:p>
        </w:tc>
        <w:tc>
          <w:tcPr>
            <w:tcW w:w="583" w:type="pct"/>
            <w:vMerge w:val="continue"/>
            <w:tcBorders>
              <w:left w:val="nil"/>
              <w:right w:val="single" w:color="000000" w:sz="8" w:space="0"/>
              <w:tl2br w:val="nil"/>
              <w:tr2bl w:val="nil"/>
            </w:tcBorders>
            <w:noWrap w:val="0"/>
            <w:vAlign w:val="top"/>
          </w:tcPr>
          <w:p w14:paraId="187755FD">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3561A33C">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14:paraId="5EE8FCC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账管系统</w:t>
            </w:r>
          </w:p>
        </w:tc>
      </w:tr>
      <w:tr w14:paraId="05F1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1A47AFD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7</w:t>
            </w:r>
          </w:p>
        </w:tc>
        <w:tc>
          <w:tcPr>
            <w:tcW w:w="652" w:type="pct"/>
            <w:tcBorders>
              <w:top w:val="nil"/>
              <w:left w:val="nil"/>
              <w:bottom w:val="single" w:color="000000" w:sz="8" w:space="0"/>
              <w:right w:val="single" w:color="000000" w:sz="8" w:space="0"/>
              <w:tl2br w:val="nil"/>
              <w:tr2bl w:val="nil"/>
            </w:tcBorders>
            <w:noWrap w:val="0"/>
            <w:vAlign w:val="top"/>
          </w:tcPr>
          <w:p w14:paraId="1DA1A01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2049" w:type="pct"/>
            <w:tcBorders>
              <w:top w:val="nil"/>
              <w:left w:val="nil"/>
              <w:bottom w:val="single" w:color="000000" w:sz="8" w:space="0"/>
              <w:right w:val="single" w:color="000000" w:sz="8" w:space="0"/>
              <w:tl2br w:val="nil"/>
              <w:tr2bl w:val="nil"/>
            </w:tcBorders>
            <w:noWrap w:val="0"/>
            <w:vAlign w:val="top"/>
          </w:tcPr>
          <w:p w14:paraId="5C33E9D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GB；磁盘：100 GB；存储：200 GB</w:t>
            </w:r>
          </w:p>
        </w:tc>
        <w:tc>
          <w:tcPr>
            <w:tcW w:w="583" w:type="pct"/>
            <w:vMerge w:val="continue"/>
            <w:tcBorders>
              <w:left w:val="nil"/>
              <w:right w:val="single" w:color="000000" w:sz="8" w:space="0"/>
              <w:tl2br w:val="nil"/>
              <w:tr2bl w:val="nil"/>
            </w:tcBorders>
            <w:noWrap w:val="0"/>
            <w:vAlign w:val="top"/>
          </w:tcPr>
          <w:p w14:paraId="4E56EEFF">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33824289">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14:paraId="6ED2B2E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年金投资前置机</w:t>
            </w:r>
          </w:p>
        </w:tc>
      </w:tr>
      <w:tr w14:paraId="0BB5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14E2BC5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8</w:t>
            </w:r>
          </w:p>
        </w:tc>
        <w:tc>
          <w:tcPr>
            <w:tcW w:w="652" w:type="pct"/>
            <w:tcBorders>
              <w:top w:val="nil"/>
              <w:left w:val="nil"/>
              <w:bottom w:val="single" w:color="000000" w:sz="8" w:space="0"/>
              <w:right w:val="single" w:color="000000" w:sz="8" w:space="0"/>
              <w:tl2br w:val="nil"/>
              <w:tr2bl w:val="nil"/>
            </w:tcBorders>
            <w:noWrap w:val="0"/>
            <w:vAlign w:val="top"/>
          </w:tcPr>
          <w:p w14:paraId="3DED04B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2049" w:type="pct"/>
            <w:tcBorders>
              <w:top w:val="nil"/>
              <w:left w:val="nil"/>
              <w:bottom w:val="single" w:color="000000" w:sz="8" w:space="0"/>
              <w:right w:val="single" w:color="000000" w:sz="8" w:space="0"/>
              <w:tl2br w:val="nil"/>
              <w:tr2bl w:val="nil"/>
            </w:tcBorders>
            <w:noWrap w:val="0"/>
            <w:vAlign w:val="top"/>
          </w:tcPr>
          <w:p w14:paraId="034C887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CPU:8 核；内存：32 GB；磁盘：100 GB；存储：200 GB</w:t>
            </w:r>
          </w:p>
        </w:tc>
        <w:tc>
          <w:tcPr>
            <w:tcW w:w="583" w:type="pct"/>
            <w:vMerge w:val="continue"/>
            <w:tcBorders>
              <w:left w:val="nil"/>
              <w:right w:val="single" w:color="000000" w:sz="8" w:space="0"/>
              <w:tl2br w:val="nil"/>
              <w:tr2bl w:val="nil"/>
            </w:tcBorders>
            <w:noWrap w:val="0"/>
            <w:vAlign w:val="top"/>
          </w:tcPr>
          <w:p w14:paraId="5E9A69E2">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522B2E5B">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14:paraId="0A6CB2D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年金投资ftp</w:t>
            </w:r>
          </w:p>
        </w:tc>
      </w:tr>
      <w:tr w14:paraId="4ABE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6310FB3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9</w:t>
            </w:r>
          </w:p>
        </w:tc>
        <w:tc>
          <w:tcPr>
            <w:tcW w:w="652" w:type="pct"/>
            <w:tcBorders>
              <w:top w:val="nil"/>
              <w:left w:val="nil"/>
              <w:bottom w:val="single" w:color="000000" w:sz="8" w:space="0"/>
              <w:right w:val="single" w:color="000000" w:sz="8" w:space="0"/>
              <w:tl2br w:val="nil"/>
              <w:tr2bl w:val="nil"/>
            </w:tcBorders>
            <w:noWrap w:val="0"/>
            <w:vAlign w:val="top"/>
          </w:tcPr>
          <w:p w14:paraId="114914D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2049" w:type="pct"/>
            <w:tcBorders>
              <w:top w:val="nil"/>
              <w:left w:val="nil"/>
              <w:bottom w:val="single" w:color="000000" w:sz="8" w:space="0"/>
              <w:right w:val="single" w:color="000000" w:sz="8" w:space="0"/>
              <w:tl2br w:val="nil"/>
              <w:tr2bl w:val="nil"/>
            </w:tcBorders>
            <w:noWrap w:val="0"/>
            <w:vAlign w:val="top"/>
          </w:tcPr>
          <w:p w14:paraId="506435E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CPU:8 核；内存：16 GB；磁盘：100 GB；存储：200 GB</w:t>
            </w:r>
          </w:p>
        </w:tc>
        <w:tc>
          <w:tcPr>
            <w:tcW w:w="583" w:type="pct"/>
            <w:vMerge w:val="continue"/>
            <w:tcBorders>
              <w:left w:val="nil"/>
              <w:right w:val="single" w:color="000000" w:sz="8" w:space="0"/>
              <w:tl2br w:val="nil"/>
              <w:tr2bl w:val="nil"/>
            </w:tcBorders>
            <w:noWrap w:val="0"/>
            <w:vAlign w:val="top"/>
          </w:tcPr>
          <w:p w14:paraId="77F3FDBC">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0A1FC8E9">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14:paraId="0D73C14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人社部转移前置机</w:t>
            </w:r>
          </w:p>
        </w:tc>
      </w:tr>
      <w:tr w14:paraId="75A9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0" w:type="pct"/>
            <w:tcBorders>
              <w:top w:val="nil"/>
              <w:left w:val="single" w:color="000000" w:sz="8" w:space="0"/>
              <w:bottom w:val="single" w:color="000000" w:sz="8" w:space="0"/>
              <w:right w:val="single" w:color="000000" w:sz="8" w:space="0"/>
              <w:tl2br w:val="nil"/>
              <w:tr2bl w:val="nil"/>
            </w:tcBorders>
            <w:noWrap w:val="0"/>
            <w:vAlign w:val="top"/>
          </w:tcPr>
          <w:p w14:paraId="5FA22D9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12</w:t>
            </w:r>
          </w:p>
        </w:tc>
        <w:tc>
          <w:tcPr>
            <w:tcW w:w="652" w:type="pct"/>
            <w:tcBorders>
              <w:top w:val="nil"/>
              <w:left w:val="nil"/>
              <w:bottom w:val="single" w:color="000000" w:sz="8" w:space="0"/>
              <w:right w:val="single" w:color="000000" w:sz="8" w:space="0"/>
              <w:tl2br w:val="nil"/>
              <w:tr2bl w:val="nil"/>
            </w:tcBorders>
            <w:noWrap w:val="0"/>
            <w:vAlign w:val="top"/>
          </w:tcPr>
          <w:p w14:paraId="53DD5B8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1</w:t>
            </w:r>
          </w:p>
        </w:tc>
        <w:tc>
          <w:tcPr>
            <w:tcW w:w="2049" w:type="pct"/>
            <w:tcBorders>
              <w:top w:val="nil"/>
              <w:left w:val="nil"/>
              <w:bottom w:val="single" w:color="000000" w:sz="8" w:space="0"/>
              <w:right w:val="single" w:color="000000" w:sz="8" w:space="0"/>
              <w:tl2br w:val="nil"/>
              <w:tr2bl w:val="nil"/>
            </w:tcBorders>
            <w:noWrap w:val="0"/>
            <w:vAlign w:val="top"/>
          </w:tcPr>
          <w:p w14:paraId="7F04371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CPU:16 核；内存：32 GB；磁盘：60 GB；存储：10240 GB</w:t>
            </w:r>
          </w:p>
        </w:tc>
        <w:tc>
          <w:tcPr>
            <w:tcW w:w="583" w:type="pct"/>
            <w:vMerge w:val="continue"/>
            <w:tcBorders>
              <w:left w:val="nil"/>
              <w:bottom w:val="single" w:color="000000" w:sz="8" w:space="0"/>
              <w:right w:val="single" w:color="000000" w:sz="8" w:space="0"/>
              <w:tl2br w:val="nil"/>
              <w:tr2bl w:val="nil"/>
            </w:tcBorders>
            <w:noWrap w:val="0"/>
            <w:vAlign w:val="top"/>
          </w:tcPr>
          <w:p w14:paraId="48709B90">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583" w:type="pct"/>
            <w:vMerge w:val="continue"/>
            <w:tcBorders>
              <w:top w:val="nil"/>
              <w:left w:val="nil"/>
              <w:bottom w:val="single" w:color="000000" w:sz="8" w:space="0"/>
              <w:right w:val="single" w:color="000000" w:sz="8" w:space="0"/>
              <w:tl2br w:val="nil"/>
              <w:tr2bl w:val="nil"/>
            </w:tcBorders>
            <w:noWrap w:val="0"/>
            <w:vAlign w:val="top"/>
          </w:tcPr>
          <w:p w14:paraId="40B5C763">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left"/>
              <w:rPr>
                <w:rFonts w:hint="eastAsia" w:hAnsi="宋体" w:cs="仿宋_GB2312"/>
                <w:color w:val="000000"/>
                <w:kern w:val="0"/>
                <w:sz w:val="28"/>
                <w:szCs w:val="28"/>
              </w:rPr>
            </w:pPr>
          </w:p>
        </w:tc>
        <w:tc>
          <w:tcPr>
            <w:tcW w:w="820" w:type="pct"/>
            <w:tcBorders>
              <w:top w:val="nil"/>
              <w:left w:val="nil"/>
              <w:bottom w:val="single" w:color="000000" w:sz="8" w:space="0"/>
              <w:right w:val="single" w:color="000000" w:sz="8" w:space="0"/>
              <w:tl2br w:val="nil"/>
              <w:tr2bl w:val="nil"/>
            </w:tcBorders>
            <w:noWrap w:val="0"/>
            <w:vAlign w:val="top"/>
          </w:tcPr>
          <w:p w14:paraId="703DA0E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top"/>
              <w:rPr>
                <w:rFonts w:hint="eastAsia" w:hAnsi="宋体" w:cs="仿宋_GB2312"/>
                <w:color w:val="000000"/>
                <w:kern w:val="0"/>
                <w:sz w:val="28"/>
                <w:szCs w:val="28"/>
              </w:rPr>
            </w:pPr>
            <w:r>
              <w:rPr>
                <w:rFonts w:hint="eastAsia" w:hAnsi="宋体" w:cs="仿宋_GB2312"/>
                <w:color w:val="000000"/>
                <w:kern w:val="0"/>
                <w:sz w:val="28"/>
                <w:szCs w:val="28"/>
                <w:lang w:bidi="ar"/>
              </w:rPr>
              <w:t>迪思杰数据同步软件</w:t>
            </w:r>
          </w:p>
        </w:tc>
      </w:tr>
    </w:tbl>
    <w:p w14:paraId="3A9AABF2">
      <w:pPr>
        <w:pStyle w:val="11"/>
        <w:ind w:firstLine="640"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系统现有数据库服务器位于</w:t>
      </w:r>
      <w:r>
        <w:rPr>
          <w:rFonts w:hint="eastAsia" w:cs="仿宋_GB2312"/>
          <w:strike w:val="0"/>
          <w:dstrike w:val="0"/>
          <w:color w:val="auto"/>
          <w:sz w:val="32"/>
          <w:szCs w:val="32"/>
          <w:lang w:val="en-US" w:eastAsia="zh-CN"/>
        </w:rPr>
        <w:t>人社厅数据中心</w:t>
      </w:r>
      <w:r>
        <w:rPr>
          <w:rFonts w:hint="eastAsia" w:ascii="仿宋_GB2312" w:hAnsi="仿宋_GB2312" w:eastAsia="仿宋_GB2312" w:cs="仿宋_GB2312"/>
          <w:strike w:val="0"/>
          <w:dstrike w:val="0"/>
          <w:color w:val="auto"/>
          <w:sz w:val="32"/>
          <w:szCs w:val="32"/>
          <w:lang w:val="en-US" w:eastAsia="zh-CN"/>
        </w:rPr>
        <w:t>由统一数据库分实例管理。</w:t>
      </w:r>
    </w:p>
    <w:p w14:paraId="59FAC2E4">
      <w:pPr>
        <w:pStyle w:val="11"/>
        <w:ind w:firstLine="0" w:firstLineChars="0"/>
        <w:jc w:val="center"/>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数据库服务器配置及数量描述</w:t>
      </w:r>
    </w:p>
    <w:tbl>
      <w:tblPr>
        <w:tblStyle w:val="1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2358"/>
        <w:gridCol w:w="2065"/>
        <w:gridCol w:w="1102"/>
        <w:gridCol w:w="1192"/>
        <w:gridCol w:w="1358"/>
        <w:gridCol w:w="401"/>
      </w:tblGrid>
      <w:tr w14:paraId="4B85C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322" w:type="pct"/>
            <w:shd w:val="clear" w:color="auto" w:fill="auto"/>
            <w:noWrap/>
            <w:vAlign w:val="center"/>
          </w:tcPr>
          <w:p w14:paraId="4C601E0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序号</w:t>
            </w:r>
          </w:p>
        </w:tc>
        <w:tc>
          <w:tcPr>
            <w:tcW w:w="1301" w:type="pct"/>
            <w:shd w:val="clear" w:color="auto" w:fill="auto"/>
            <w:noWrap/>
            <w:vAlign w:val="center"/>
          </w:tcPr>
          <w:p w14:paraId="2CAA91E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内存</w:t>
            </w:r>
          </w:p>
        </w:tc>
        <w:tc>
          <w:tcPr>
            <w:tcW w:w="1139" w:type="pct"/>
            <w:shd w:val="clear" w:color="auto" w:fill="auto"/>
            <w:vAlign w:val="center"/>
          </w:tcPr>
          <w:p w14:paraId="23759DC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HBA卡数量</w:t>
            </w:r>
          </w:p>
        </w:tc>
        <w:tc>
          <w:tcPr>
            <w:tcW w:w="608" w:type="pct"/>
            <w:shd w:val="clear" w:color="auto" w:fill="auto"/>
            <w:vAlign w:val="center"/>
          </w:tcPr>
          <w:p w14:paraId="73B47E6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固态硬盘</w:t>
            </w:r>
          </w:p>
        </w:tc>
        <w:tc>
          <w:tcPr>
            <w:tcW w:w="657" w:type="pct"/>
            <w:shd w:val="clear" w:color="auto" w:fill="auto"/>
            <w:vAlign w:val="center"/>
          </w:tcPr>
          <w:p w14:paraId="560B602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sz w:val="28"/>
                <w:szCs w:val="28"/>
              </w:rPr>
            </w:pPr>
            <w:r>
              <w:rPr>
                <w:rFonts w:ascii="仿宋_GB2312" w:hAnsi="宋体" w:eastAsia="仿宋_GB2312" w:cs="仿宋_GB2312"/>
                <w:b/>
                <w:color w:val="000000"/>
                <w:kern w:val="0"/>
                <w:sz w:val="28"/>
                <w:szCs w:val="28"/>
                <w:lang w:bidi="ar"/>
              </w:rPr>
              <w:t>机械硬盘</w:t>
            </w:r>
          </w:p>
        </w:tc>
        <w:tc>
          <w:tcPr>
            <w:tcW w:w="749" w:type="pct"/>
            <w:shd w:val="clear" w:color="auto" w:fill="auto"/>
            <w:vAlign w:val="center"/>
          </w:tcPr>
          <w:p w14:paraId="180151E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部署环境</w:t>
            </w:r>
          </w:p>
        </w:tc>
        <w:tc>
          <w:tcPr>
            <w:tcW w:w="221" w:type="pct"/>
            <w:shd w:val="clear" w:color="auto" w:fill="auto"/>
            <w:vAlign w:val="center"/>
          </w:tcPr>
          <w:p w14:paraId="6EC4CDE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color w:val="000000"/>
                <w:kern w:val="0"/>
                <w:sz w:val="28"/>
                <w:szCs w:val="28"/>
                <w:lang w:val="en-US" w:eastAsia="zh-CN" w:bidi="ar"/>
              </w:rPr>
            </w:pPr>
            <w:r>
              <w:rPr>
                <w:rFonts w:hint="eastAsia" w:hAnsi="宋体" w:cs="仿宋_GB2312"/>
                <w:b/>
                <w:color w:val="000000"/>
                <w:kern w:val="0"/>
                <w:sz w:val="28"/>
                <w:szCs w:val="28"/>
                <w:lang w:val="en-US" w:eastAsia="zh-CN" w:bidi="ar"/>
              </w:rPr>
              <w:t>备注</w:t>
            </w:r>
          </w:p>
        </w:tc>
      </w:tr>
      <w:tr w14:paraId="3FEB8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trPr>
        <w:tc>
          <w:tcPr>
            <w:tcW w:w="322" w:type="pct"/>
            <w:shd w:val="clear" w:color="auto" w:fill="auto"/>
            <w:noWrap/>
            <w:vAlign w:val="center"/>
          </w:tcPr>
          <w:p w14:paraId="0F68B42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1</w:t>
            </w:r>
          </w:p>
        </w:tc>
        <w:tc>
          <w:tcPr>
            <w:tcW w:w="2440" w:type="pct"/>
            <w:gridSpan w:val="2"/>
            <w:shd w:val="clear" w:color="auto" w:fill="auto"/>
            <w:noWrap/>
            <w:vAlign w:val="center"/>
          </w:tcPr>
          <w:p w14:paraId="249E33C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color w:val="000000"/>
                <w:sz w:val="28"/>
                <w:szCs w:val="28"/>
                <w:lang w:eastAsia="zh-CN"/>
              </w:rPr>
            </w:pPr>
            <w:r>
              <w:rPr>
                <w:rFonts w:hint="eastAsia" w:hAnsi="宋体" w:cs="仿宋_GB2312"/>
                <w:color w:val="000000"/>
                <w:kern w:val="0"/>
                <w:sz w:val="28"/>
                <w:szCs w:val="28"/>
                <w:lang w:eastAsia="zh-CN" w:bidi="ar"/>
              </w:rPr>
              <w:t>与人社厅数据中心其他应用共用</w:t>
            </w:r>
          </w:p>
        </w:tc>
        <w:tc>
          <w:tcPr>
            <w:tcW w:w="608" w:type="pct"/>
            <w:shd w:val="clear" w:color="auto" w:fill="auto"/>
            <w:noWrap/>
            <w:vAlign w:val="center"/>
          </w:tcPr>
          <w:p w14:paraId="39858AC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10TB</w:t>
            </w:r>
          </w:p>
        </w:tc>
        <w:tc>
          <w:tcPr>
            <w:tcW w:w="657" w:type="pct"/>
            <w:shd w:val="clear" w:color="auto" w:fill="auto"/>
            <w:vAlign w:val="center"/>
          </w:tcPr>
          <w:p w14:paraId="071348F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kern w:val="0"/>
                <w:sz w:val="28"/>
                <w:szCs w:val="28"/>
                <w:lang w:bidi="ar"/>
              </w:rPr>
              <w:t>0</w:t>
            </w:r>
          </w:p>
        </w:tc>
        <w:tc>
          <w:tcPr>
            <w:tcW w:w="749" w:type="pct"/>
            <w:shd w:val="clear" w:color="auto" w:fill="auto"/>
            <w:vAlign w:val="center"/>
          </w:tcPr>
          <w:p w14:paraId="2107F2D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人社厅数据中心</w:t>
            </w:r>
          </w:p>
        </w:tc>
        <w:tc>
          <w:tcPr>
            <w:tcW w:w="221" w:type="pct"/>
            <w:shd w:val="clear" w:color="auto" w:fill="auto"/>
            <w:vAlign w:val="center"/>
          </w:tcPr>
          <w:p w14:paraId="7A9ECE7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color w:val="000000"/>
                <w:kern w:val="0"/>
                <w:sz w:val="28"/>
                <w:szCs w:val="28"/>
                <w:lang w:bidi="ar"/>
              </w:rPr>
            </w:pPr>
          </w:p>
        </w:tc>
      </w:tr>
    </w:tbl>
    <w:p w14:paraId="37579803">
      <w:pPr>
        <w:pStyle w:val="11"/>
        <w:ind w:firstLine="0" w:firstLineChars="0"/>
        <w:rPr>
          <w:rFonts w:hint="eastAsia" w:ascii="仿宋_GB2312" w:hAnsi="仿宋_GB2312" w:eastAsia="仿宋_GB2312" w:cs="仿宋_GB2312"/>
          <w:strike w:val="0"/>
          <w:dstrike w:val="0"/>
          <w:color w:val="auto"/>
          <w:sz w:val="32"/>
          <w:szCs w:val="32"/>
          <w:lang w:val="en-US" w:eastAsia="zh-CN"/>
        </w:rPr>
      </w:pPr>
    </w:p>
    <w:p w14:paraId="28E10549">
      <w:pPr>
        <w:pStyle w:val="8"/>
        <w:numPr>
          <w:ilvl w:val="-1"/>
          <w:numId w:val="0"/>
          <w:ins w:id="8" w:author="ysgz" w:date=""/>
        </w:numPr>
        <w:bidi w:val="0"/>
        <w:ind w:left="0" w:leftChars="0" w:firstLine="643" w:firstLineChars="200"/>
        <w:rPr>
          <w:rFonts w:hint="eastAsia"/>
          <w:lang w:val="en-US" w:eastAsia="zh-CN"/>
        </w:rPr>
      </w:pPr>
      <w:r>
        <w:rPr>
          <w:rFonts w:hint="eastAsia"/>
          <w:lang w:val="en-US" w:eastAsia="zh-CN"/>
        </w:rPr>
        <w:t>b.资源需求</w:t>
      </w:r>
    </w:p>
    <w:p w14:paraId="45FE1725">
      <w:pPr>
        <w:spacing w:line="560" w:lineRule="exact"/>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根据人社部《人力资源社会保障行业应用信创建设指南》（人社网信函〔2024〕4号）中选型的指导建议，“对于复杂场景下的交易型业务</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数据规模在1亿以上、高并发的业务，推荐选择分布式数据库，</w:t>
      </w:r>
      <w:r>
        <w:rPr>
          <w:rFonts w:hint="eastAsia" w:cs="仿宋_GB2312"/>
          <w:b w:val="0"/>
          <w:bCs w:val="0"/>
          <w:sz w:val="32"/>
          <w:szCs w:val="32"/>
          <w:lang w:val="en-US" w:eastAsia="zh-CN"/>
        </w:rPr>
        <w:t>例如</w:t>
      </w:r>
      <w:r>
        <w:rPr>
          <w:rFonts w:hint="eastAsia" w:ascii="仿宋_GB2312" w:hAnsi="仿宋_GB2312" w:eastAsia="仿宋_GB2312" w:cs="仿宋_GB2312"/>
          <w:b w:val="0"/>
          <w:bCs w:val="0"/>
          <w:sz w:val="32"/>
          <w:szCs w:val="32"/>
        </w:rPr>
        <w:t>社保、就业等覆盖全省</w:t>
      </w:r>
      <w:r>
        <w:rPr>
          <w:rFonts w:hint="eastAsia" w:cs="仿宋_GB2312"/>
          <w:b w:val="0"/>
          <w:bCs w:val="0"/>
          <w:sz w:val="32"/>
          <w:szCs w:val="32"/>
          <w:lang w:val="en-US" w:eastAsia="zh-CN"/>
        </w:rPr>
        <w:t>人口</w:t>
      </w:r>
      <w:r>
        <w:rPr>
          <w:rFonts w:hint="eastAsia" w:ascii="仿宋_GB2312" w:hAnsi="仿宋_GB2312" w:eastAsia="仿宋_GB2312" w:cs="仿宋_GB2312"/>
          <w:b w:val="0"/>
          <w:bCs w:val="0"/>
          <w:sz w:val="32"/>
          <w:szCs w:val="32"/>
        </w:rPr>
        <w:t>的业务”</w:t>
      </w:r>
      <w:r>
        <w:rPr>
          <w:rFonts w:hint="eastAsia" w:cs="仿宋_GB2312"/>
          <w:b w:val="0"/>
          <w:bCs w:val="0"/>
          <w:sz w:val="32"/>
          <w:szCs w:val="32"/>
          <w:lang w:eastAsia="zh-CN"/>
        </w:rPr>
        <w:t>、“</w:t>
      </w:r>
      <w:r>
        <w:rPr>
          <w:rFonts w:hint="eastAsia" w:cs="仿宋_GB2312"/>
          <w:b w:val="0"/>
          <w:bCs w:val="0"/>
          <w:sz w:val="32"/>
          <w:szCs w:val="32"/>
          <w:lang w:val="en-US" w:eastAsia="zh-CN"/>
        </w:rPr>
        <w:t>中间件：在产品选择方面不仅要考虑业务系统的兼容适配问题，还要考虑产品的安全性，需选择国产正版中间件产品</w:t>
      </w:r>
      <w:r>
        <w:rPr>
          <w:rFonts w:hint="eastAsia" w:cs="仿宋_GB2312"/>
          <w:b w:val="0"/>
          <w:bCs w:val="0"/>
          <w:sz w:val="32"/>
          <w:szCs w:val="32"/>
          <w:lang w:eastAsia="zh-CN"/>
        </w:rPr>
        <w:t>”、“</w:t>
      </w:r>
      <w:r>
        <w:rPr>
          <w:rFonts w:hint="eastAsia" w:cs="仿宋_GB2312"/>
          <w:b w:val="0"/>
          <w:bCs w:val="0"/>
          <w:sz w:val="32"/>
          <w:szCs w:val="32"/>
          <w:lang w:val="en-US" w:eastAsia="zh-CN"/>
        </w:rPr>
        <w:t>云资源：云平台应兼容国产化和非国产化产品，可以实现‘一云多芯’……需确保应用数据在迁移到云平台后的完整可用</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因此对数据库、中间件、云资源等需求如下：</w:t>
      </w:r>
    </w:p>
    <w:p w14:paraId="54A0A673">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数据库选型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针对本次改造，建议选择国产分布式数据库进行支撑，目前市场主流的分布式数据库包括OceanBase、GaussDB、达梦等，具体可根据情况而定。</w:t>
      </w:r>
    </w:p>
    <w:p w14:paraId="5435525E">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中间件选型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中间件需要能够满足对国产CPU、国产操作系统的兼容，因此，建议选择目前市场比较主流的国产中间件。可选择金蝶、东方通等国产中间件。</w:t>
      </w:r>
    </w:p>
    <w:p w14:paraId="5320C425">
      <w:pPr>
        <w:spacing w:line="560" w:lineRule="exact"/>
        <w:ind w:left="0" w:leftChars="0" w:firstLine="643"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z w:val="32"/>
          <w:szCs w:val="32"/>
        </w:rPr>
        <w:t>云资源需求：</w:t>
      </w:r>
      <w:r>
        <w:rPr>
          <w:rFonts w:hint="eastAsia" w:ascii="仿宋_GB2312" w:hAnsi="仿宋_GB2312" w:eastAsia="仿宋_GB2312" w:cs="仿宋_GB2312"/>
          <w:sz w:val="32"/>
          <w:szCs w:val="32"/>
        </w:rPr>
        <w:t>根据系统目前现状和支撑资源，云资源需求主要包括数据库支撑和应用支撑两部分。其中，数据库支撑包括OLTP数据库和OLAP数据库，由于数据库业务对IO响应、稳定性等要求较高，建议采用裸金属物理机进行支撑。建议单台配置不低于128核心，1TB内存，根据所选DBMS的不同，采用不同的高可靠方式。对于应用支撑，则可直接由云虚拟机或容器进行支撑。</w:t>
      </w:r>
    </w:p>
    <w:p w14:paraId="4E7959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初步需求清单如下：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3686"/>
        <w:gridCol w:w="850"/>
        <w:gridCol w:w="1469"/>
      </w:tblGrid>
      <w:tr w14:paraId="225D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39ACC4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984" w:type="dxa"/>
            <w:vAlign w:val="center"/>
          </w:tcPr>
          <w:p w14:paraId="665F67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资源名称</w:t>
            </w:r>
          </w:p>
        </w:tc>
        <w:tc>
          <w:tcPr>
            <w:tcW w:w="3686" w:type="dxa"/>
            <w:vAlign w:val="center"/>
          </w:tcPr>
          <w:p w14:paraId="5406D7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概略配置</w:t>
            </w:r>
          </w:p>
        </w:tc>
        <w:tc>
          <w:tcPr>
            <w:tcW w:w="850" w:type="dxa"/>
            <w:vAlign w:val="center"/>
          </w:tcPr>
          <w:p w14:paraId="1F1EFD2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c>
          <w:tcPr>
            <w:tcW w:w="1469" w:type="dxa"/>
            <w:vAlign w:val="center"/>
          </w:tcPr>
          <w:p w14:paraId="66FC41A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14:paraId="5303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CCA0FDF">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400" w:leftChars="0" w:firstLine="0" w:firstLineChars="0"/>
              <w:textAlignment w:val="auto"/>
              <w:rPr>
                <w:rFonts w:ascii="仿宋_GB2312" w:hAnsi="仿宋_GB2312" w:eastAsia="仿宋_GB2312" w:cs="仿宋_GB2312"/>
                <w:sz w:val="28"/>
                <w:szCs w:val="28"/>
              </w:rPr>
            </w:pPr>
          </w:p>
        </w:tc>
        <w:tc>
          <w:tcPr>
            <w:tcW w:w="1984" w:type="dxa"/>
            <w:vAlign w:val="center"/>
          </w:tcPr>
          <w:p w14:paraId="718F259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生产库</w:t>
            </w:r>
          </w:p>
        </w:tc>
        <w:tc>
          <w:tcPr>
            <w:tcW w:w="3686" w:type="dxa"/>
            <w:vAlign w:val="center"/>
          </w:tcPr>
          <w:p w14:paraId="148DDAD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7F26A3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14:paraId="3EB9D73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4926BBA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14:paraId="17236C7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22F689A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469" w:type="dxa"/>
            <w:vAlign w:val="center"/>
          </w:tcPr>
          <w:p w14:paraId="171BE46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14:paraId="7C93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A40C5C9">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0C56BF2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分析库</w:t>
            </w:r>
          </w:p>
        </w:tc>
        <w:tc>
          <w:tcPr>
            <w:tcW w:w="3686" w:type="dxa"/>
            <w:vAlign w:val="center"/>
          </w:tcPr>
          <w:p w14:paraId="5A2A6FF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3393A4D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14:paraId="5BE8F11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3709969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3.84TB SSD</w:t>
            </w:r>
          </w:p>
          <w:p w14:paraId="713A844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7327F3F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469" w:type="dxa"/>
            <w:vAlign w:val="center"/>
          </w:tcPr>
          <w:p w14:paraId="365AB3C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14:paraId="1A05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EF18561">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395006C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数据库管理节点</w:t>
            </w:r>
          </w:p>
        </w:tc>
        <w:tc>
          <w:tcPr>
            <w:tcW w:w="3686" w:type="dxa"/>
            <w:vAlign w:val="center"/>
          </w:tcPr>
          <w:p w14:paraId="4C82B0D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05C6196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512GB</w:t>
            </w:r>
            <w:r>
              <w:rPr>
                <w:rFonts w:hint="eastAsia" w:ascii="仿宋_GB2312" w:hAnsi="仿宋_GB2312" w:eastAsia="仿宋_GB2312" w:cs="仿宋_GB2312"/>
                <w:sz w:val="28"/>
                <w:szCs w:val="28"/>
              </w:rPr>
              <w:t>内存</w:t>
            </w:r>
          </w:p>
          <w:p w14:paraId="532E05B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7E2DE8A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14:paraId="00D7D53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2B29638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Align w:val="center"/>
          </w:tcPr>
          <w:p w14:paraId="1C7B13C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集群管理</w:t>
            </w:r>
          </w:p>
        </w:tc>
      </w:tr>
      <w:tr w14:paraId="2107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B69C613">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57004AB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应用虚拟机1</w:t>
            </w:r>
          </w:p>
        </w:tc>
        <w:tc>
          <w:tcPr>
            <w:tcW w:w="3686" w:type="dxa"/>
            <w:vAlign w:val="center"/>
          </w:tcPr>
          <w:p w14:paraId="70CD9A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21838B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14:paraId="167DB18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1CAB426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14:paraId="483328A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82</w:t>
            </w:r>
          </w:p>
        </w:tc>
        <w:tc>
          <w:tcPr>
            <w:tcW w:w="1469" w:type="dxa"/>
            <w:vAlign w:val="center"/>
          </w:tcPr>
          <w:p w14:paraId="15AD7CA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云虚拟机</w:t>
            </w:r>
          </w:p>
          <w:p w14:paraId="7E114CA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普通业务支撑</w:t>
            </w:r>
          </w:p>
        </w:tc>
      </w:tr>
      <w:tr w14:paraId="1BD0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DE522F2">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5BC81FC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2</w:t>
            </w:r>
          </w:p>
        </w:tc>
        <w:tc>
          <w:tcPr>
            <w:tcW w:w="3686" w:type="dxa"/>
            <w:vAlign w:val="center"/>
          </w:tcPr>
          <w:p w14:paraId="117FB6F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27ABC60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32GB</w:t>
            </w:r>
            <w:r>
              <w:rPr>
                <w:rFonts w:hint="eastAsia" w:ascii="仿宋_GB2312" w:hAnsi="仿宋_GB2312" w:eastAsia="仿宋_GB2312" w:cs="仿宋_GB2312"/>
                <w:sz w:val="28"/>
                <w:szCs w:val="28"/>
              </w:rPr>
              <w:t>内存</w:t>
            </w:r>
          </w:p>
          <w:p w14:paraId="60868D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7316885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14:paraId="17FE275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469" w:type="dxa"/>
            <w:vAlign w:val="center"/>
          </w:tcPr>
          <w:p w14:paraId="1294BEE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独立小型中间件或业务支撑</w:t>
            </w:r>
          </w:p>
        </w:tc>
      </w:tr>
      <w:tr w14:paraId="0EE1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EFA36CC">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793555A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3</w:t>
            </w:r>
          </w:p>
        </w:tc>
        <w:tc>
          <w:tcPr>
            <w:tcW w:w="3686" w:type="dxa"/>
            <w:vAlign w:val="center"/>
          </w:tcPr>
          <w:p w14:paraId="18F2733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0A2765D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14:paraId="6E00488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107D1A2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10TB </w:t>
            </w:r>
            <w:r>
              <w:rPr>
                <w:rFonts w:hint="eastAsia" w:ascii="仿宋_GB2312" w:hAnsi="仿宋_GB2312" w:eastAsia="仿宋_GB2312" w:cs="仿宋_GB2312"/>
                <w:sz w:val="28"/>
                <w:szCs w:val="28"/>
              </w:rPr>
              <w:t>数据盘</w:t>
            </w:r>
          </w:p>
        </w:tc>
        <w:tc>
          <w:tcPr>
            <w:tcW w:w="850" w:type="dxa"/>
            <w:vAlign w:val="center"/>
          </w:tcPr>
          <w:p w14:paraId="45AA6F1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469" w:type="dxa"/>
            <w:vAlign w:val="center"/>
          </w:tcPr>
          <w:p w14:paraId="46FA1A0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存储类和暂存机类应用支撑</w:t>
            </w:r>
          </w:p>
        </w:tc>
      </w:tr>
      <w:tr w14:paraId="67C5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2B7428A">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600AFD3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非结构化存储</w:t>
            </w:r>
          </w:p>
        </w:tc>
        <w:tc>
          <w:tcPr>
            <w:tcW w:w="3686" w:type="dxa"/>
            <w:vAlign w:val="center"/>
          </w:tcPr>
          <w:p w14:paraId="00323A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提供非结构化数据存储能力</w:t>
            </w:r>
          </w:p>
          <w:p w14:paraId="333B72C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对象存储或N</w:t>
            </w:r>
            <w:r>
              <w:rPr>
                <w:rFonts w:ascii="仿宋_GB2312" w:hAnsi="仿宋_GB2312" w:eastAsia="仿宋_GB2312" w:cs="仿宋_GB2312"/>
                <w:sz w:val="28"/>
                <w:szCs w:val="28"/>
              </w:rPr>
              <w:t>AS</w:t>
            </w:r>
            <w:r>
              <w:rPr>
                <w:rFonts w:hint="eastAsia" w:ascii="仿宋_GB2312" w:hAnsi="仿宋_GB2312" w:eastAsia="仿宋_GB2312" w:cs="仿宋_GB2312"/>
                <w:sz w:val="28"/>
                <w:szCs w:val="28"/>
              </w:rPr>
              <w:t>或其他N</w:t>
            </w:r>
            <w:r>
              <w:rPr>
                <w:rFonts w:ascii="仿宋_GB2312" w:hAnsi="仿宋_GB2312" w:eastAsia="仿宋_GB2312" w:cs="仿宋_GB2312"/>
                <w:sz w:val="28"/>
                <w:szCs w:val="28"/>
              </w:rPr>
              <w:t>FS</w:t>
            </w:r>
          </w:p>
          <w:p w14:paraId="103201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能够挂载给应用虚拟机</w:t>
            </w:r>
          </w:p>
          <w:p w14:paraId="0819AB3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存储空间≥</w:t>
            </w:r>
            <w:r>
              <w:rPr>
                <w:rFonts w:ascii="仿宋_GB2312" w:hAnsi="仿宋_GB2312" w:eastAsia="仿宋_GB2312" w:cs="仿宋_GB2312"/>
                <w:sz w:val="28"/>
                <w:szCs w:val="28"/>
              </w:rPr>
              <w:t>300TB</w:t>
            </w:r>
          </w:p>
          <w:p w14:paraId="541E14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并支持在线扩展</w:t>
            </w:r>
          </w:p>
        </w:tc>
        <w:tc>
          <w:tcPr>
            <w:tcW w:w="850" w:type="dxa"/>
            <w:vAlign w:val="center"/>
          </w:tcPr>
          <w:p w14:paraId="3B680C4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restart"/>
            <w:vAlign w:val="center"/>
          </w:tcPr>
          <w:p w14:paraId="0F0A47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政务云统一提供</w:t>
            </w:r>
          </w:p>
        </w:tc>
      </w:tr>
      <w:tr w14:paraId="2B1B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970294E">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4AB1AE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备份资源</w:t>
            </w:r>
          </w:p>
        </w:tc>
        <w:tc>
          <w:tcPr>
            <w:tcW w:w="3686" w:type="dxa"/>
            <w:vAlign w:val="center"/>
          </w:tcPr>
          <w:p w14:paraId="2B75B8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支持对国产数据库进行备份</w:t>
            </w:r>
          </w:p>
          <w:p w14:paraId="015FCE3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支持备份结构化数据和非结构化数据</w:t>
            </w:r>
          </w:p>
          <w:p w14:paraId="131F75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支持通过删重或压缩来节省空间</w:t>
            </w:r>
          </w:p>
          <w:p w14:paraId="70C7298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可用容量≥6</w:t>
            </w:r>
            <w:r>
              <w:rPr>
                <w:rFonts w:ascii="仿宋_GB2312" w:hAnsi="仿宋_GB2312" w:eastAsia="仿宋_GB2312" w:cs="仿宋_GB2312"/>
                <w:sz w:val="28"/>
                <w:szCs w:val="28"/>
              </w:rPr>
              <w:t>00TB</w:t>
            </w:r>
            <w:r>
              <w:rPr>
                <w:rFonts w:hint="eastAsia" w:ascii="仿宋_GB2312" w:hAnsi="仿宋_GB2312" w:eastAsia="仿宋_GB2312" w:cs="仿宋_GB2312"/>
                <w:sz w:val="28"/>
                <w:szCs w:val="28"/>
              </w:rPr>
              <w:t>，并支持在线扩容</w:t>
            </w:r>
          </w:p>
        </w:tc>
        <w:tc>
          <w:tcPr>
            <w:tcW w:w="850" w:type="dxa"/>
            <w:vAlign w:val="center"/>
          </w:tcPr>
          <w:p w14:paraId="1A4A912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4BDA7B1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r>
      <w:tr w14:paraId="1C84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A27035B">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2EC08FD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安全和密码资源</w:t>
            </w:r>
          </w:p>
        </w:tc>
        <w:tc>
          <w:tcPr>
            <w:tcW w:w="3686" w:type="dxa"/>
            <w:vAlign w:val="center"/>
          </w:tcPr>
          <w:p w14:paraId="4763164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提供符合等级保护三级标准的安全防护资源。</w:t>
            </w:r>
          </w:p>
          <w:p w14:paraId="38680B0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提供符合密码防护要求三级标准的密码防护资源</w:t>
            </w:r>
          </w:p>
        </w:tc>
        <w:tc>
          <w:tcPr>
            <w:tcW w:w="850" w:type="dxa"/>
            <w:vAlign w:val="center"/>
          </w:tcPr>
          <w:p w14:paraId="20EAF03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23E08C2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r>
      <w:tr w14:paraId="0717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3A526158">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1B5D300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网络资源</w:t>
            </w:r>
          </w:p>
        </w:tc>
        <w:tc>
          <w:tcPr>
            <w:tcW w:w="3686" w:type="dxa"/>
            <w:vAlign w:val="center"/>
          </w:tcPr>
          <w:p w14:paraId="1509542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提供电子政务外网（金保专网）连接，提供互联网连接</w:t>
            </w:r>
          </w:p>
          <w:p w14:paraId="20F05E3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cs="仿宋_GB2312"/>
                <w:sz w:val="28"/>
                <w:szCs w:val="28"/>
                <w:lang w:eastAsia="zh-CN"/>
              </w:rPr>
              <w:t>广域网</w:t>
            </w:r>
            <w:r>
              <w:rPr>
                <w:rFonts w:hint="eastAsia" w:ascii="仿宋_GB2312" w:hAnsi="仿宋_GB2312" w:eastAsia="仿宋_GB2312" w:cs="仿宋_GB2312"/>
                <w:sz w:val="28"/>
                <w:szCs w:val="28"/>
              </w:rPr>
              <w:t>提供安全隔离</w:t>
            </w:r>
          </w:p>
          <w:p w14:paraId="79D7308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局域网内部提供不低于1</w:t>
            </w:r>
            <w:r>
              <w:rPr>
                <w:rFonts w:ascii="仿宋_GB2312" w:hAnsi="仿宋_GB2312" w:eastAsia="仿宋_GB2312" w:cs="仿宋_GB2312"/>
                <w:sz w:val="28"/>
                <w:szCs w:val="28"/>
              </w:rPr>
              <w:t>0GE</w:t>
            </w:r>
            <w:r>
              <w:rPr>
                <w:rFonts w:hint="eastAsia" w:ascii="仿宋_GB2312" w:hAnsi="仿宋_GB2312" w:eastAsia="仿宋_GB2312" w:cs="仿宋_GB2312"/>
                <w:sz w:val="28"/>
                <w:szCs w:val="28"/>
              </w:rPr>
              <w:t>速率连接</w:t>
            </w:r>
          </w:p>
        </w:tc>
        <w:tc>
          <w:tcPr>
            <w:tcW w:w="850" w:type="dxa"/>
            <w:vAlign w:val="center"/>
          </w:tcPr>
          <w:p w14:paraId="1BAE7B4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5677C55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r>
      <w:tr w14:paraId="260F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20198D">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c>
          <w:tcPr>
            <w:tcW w:w="1984" w:type="dxa"/>
            <w:vAlign w:val="center"/>
          </w:tcPr>
          <w:p w14:paraId="7E810A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系统软件</w:t>
            </w:r>
          </w:p>
        </w:tc>
        <w:tc>
          <w:tcPr>
            <w:tcW w:w="3686" w:type="dxa"/>
            <w:vAlign w:val="center"/>
          </w:tcPr>
          <w:p w14:paraId="2FF98AB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国产分布式数据库</w:t>
            </w:r>
          </w:p>
          <w:p w14:paraId="0D21C62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国产M</w:t>
            </w:r>
            <w:r>
              <w:rPr>
                <w:rFonts w:ascii="仿宋_GB2312" w:hAnsi="仿宋_GB2312" w:eastAsia="仿宋_GB2312" w:cs="仿宋_GB2312"/>
                <w:sz w:val="28"/>
                <w:szCs w:val="28"/>
              </w:rPr>
              <w:t>PP</w:t>
            </w:r>
            <w:r>
              <w:rPr>
                <w:rFonts w:hint="eastAsia" w:ascii="仿宋_GB2312" w:hAnsi="仿宋_GB2312" w:eastAsia="仿宋_GB2312" w:cs="仿宋_GB2312"/>
                <w:sz w:val="28"/>
                <w:szCs w:val="28"/>
              </w:rPr>
              <w:t>分析型数据库</w:t>
            </w:r>
          </w:p>
          <w:p w14:paraId="2C0620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国产操作系统</w:t>
            </w:r>
          </w:p>
          <w:p w14:paraId="0F4B76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国产中间件</w:t>
            </w:r>
          </w:p>
          <w:p w14:paraId="5289659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国产数据同步工具</w:t>
            </w:r>
          </w:p>
        </w:tc>
        <w:tc>
          <w:tcPr>
            <w:tcW w:w="850" w:type="dxa"/>
            <w:vAlign w:val="center"/>
          </w:tcPr>
          <w:p w14:paraId="2DED9E7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4C3757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p>
        </w:tc>
      </w:tr>
    </w:tbl>
    <w:p w14:paraId="092B1D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p>
    <w:p w14:paraId="30932ED1">
      <w:pPr>
        <w:pStyle w:val="8"/>
        <w:numPr>
          <w:ilvl w:val="-1"/>
          <w:numId w:val="0"/>
          <w:ins w:id="9" w:author="ysgz" w:date=""/>
        </w:numPr>
        <w:bidi w:val="0"/>
        <w:ind w:left="0" w:firstLine="643" w:firstLineChars="200"/>
        <w:rPr>
          <w:rFonts w:hint="default"/>
          <w:lang w:val="en-US" w:eastAsia="zh-CN"/>
        </w:rPr>
      </w:pPr>
      <w:r>
        <w:rPr>
          <w:rFonts w:hint="eastAsia"/>
          <w:lang w:val="en-US" w:eastAsia="zh-CN"/>
        </w:rPr>
        <w:t>c.国产化适配软件改造内容</w:t>
      </w:r>
    </w:p>
    <w:p w14:paraId="41B8C1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default" w:ascii="仿宋_GB2312" w:hAnsi="仿宋_GB2312" w:eastAsia="仿宋_GB2312" w:cs="仿宋_GB2312"/>
          <w:strike w:val="0"/>
          <w:dstrike w:val="0"/>
          <w:color w:val="auto"/>
          <w:sz w:val="32"/>
          <w:szCs w:val="32"/>
          <w:lang w:val="en-US" w:eastAsia="zh-CN"/>
        </w:rPr>
        <w:t>本项目改造主要涉及内容为变更中心改造</w:t>
      </w:r>
      <w:r>
        <w:rPr>
          <w:rFonts w:hint="eastAsia" w:cs="仿宋_GB2312"/>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eastAsia="zh-CN"/>
        </w:rPr>
        <w:t>涉及单位管理、人员管理等10余个功能</w:t>
      </w:r>
      <w:r>
        <w:rPr>
          <w:rFonts w:hint="eastAsia" w:cs="仿宋_GB2312"/>
          <w:strike w:val="0"/>
          <w:dstrike w:val="0"/>
          <w:color w:val="auto"/>
          <w:sz w:val="32"/>
          <w:szCs w:val="32"/>
          <w:lang w:val="en-US" w:eastAsia="zh-CN"/>
        </w:rPr>
        <w:t>）</w:t>
      </w:r>
      <w:r>
        <w:rPr>
          <w:rFonts w:hint="default" w:ascii="仿宋_GB2312" w:hAnsi="仿宋_GB2312" w:eastAsia="仿宋_GB2312" w:cs="仿宋_GB2312"/>
          <w:strike w:val="0"/>
          <w:dstrike w:val="0"/>
          <w:color w:val="auto"/>
          <w:sz w:val="32"/>
          <w:szCs w:val="32"/>
          <w:lang w:val="en-US" w:eastAsia="zh-CN"/>
        </w:rPr>
        <w:t>、待遇中心改造</w:t>
      </w:r>
      <w:r>
        <w:rPr>
          <w:rFonts w:hint="eastAsia" w:ascii="仿宋_GB2312" w:hAnsi="仿宋_GB2312" w:eastAsia="仿宋_GB2312" w:cs="仿宋_GB2312"/>
          <w:strike w:val="0"/>
          <w:dstrike w:val="0"/>
          <w:color w:val="auto"/>
          <w:sz w:val="32"/>
          <w:szCs w:val="32"/>
          <w:lang w:val="en-US" w:eastAsia="zh-CN"/>
        </w:rPr>
        <w:t>（涉及30余个功能）</w:t>
      </w:r>
      <w:r>
        <w:rPr>
          <w:rFonts w:hint="default" w:ascii="仿宋_GB2312" w:hAnsi="仿宋_GB2312" w:eastAsia="仿宋_GB2312" w:cs="仿宋_GB2312"/>
          <w:strike w:val="0"/>
          <w:dstrike w:val="0"/>
          <w:color w:val="auto"/>
          <w:sz w:val="32"/>
          <w:szCs w:val="32"/>
          <w:lang w:val="en-US" w:eastAsia="zh-CN"/>
        </w:rPr>
        <w:t>、职业年金经办改造</w:t>
      </w:r>
      <w:r>
        <w:rPr>
          <w:rFonts w:hint="eastAsia" w:ascii="仿宋_GB2312" w:hAnsi="仿宋_GB2312" w:eastAsia="仿宋_GB2312" w:cs="仿宋_GB2312"/>
          <w:strike w:val="0"/>
          <w:dstrike w:val="0"/>
          <w:color w:val="auto"/>
          <w:sz w:val="32"/>
          <w:szCs w:val="32"/>
          <w:lang w:val="en-US" w:eastAsia="zh-CN"/>
        </w:rPr>
        <w:t>（涉及90余个功能）</w:t>
      </w:r>
      <w:r>
        <w:rPr>
          <w:rFonts w:hint="default" w:ascii="仿宋_GB2312" w:hAnsi="仿宋_GB2312" w:eastAsia="仿宋_GB2312" w:cs="仿宋_GB2312"/>
          <w:strike w:val="0"/>
          <w:dstrike w:val="0"/>
          <w:color w:val="auto"/>
          <w:sz w:val="32"/>
          <w:szCs w:val="32"/>
          <w:lang w:val="en-US" w:eastAsia="zh-CN"/>
        </w:rPr>
        <w:t>、</w:t>
      </w:r>
      <w:r>
        <w:rPr>
          <w:rFonts w:hint="eastAsia" w:cs="仿宋_GB2312"/>
          <w:strike w:val="0"/>
          <w:dstrike w:val="0"/>
          <w:color w:val="auto"/>
          <w:sz w:val="32"/>
          <w:szCs w:val="32"/>
          <w:lang w:val="en-US" w:eastAsia="zh-CN"/>
        </w:rPr>
        <w:t>其他</w:t>
      </w:r>
      <w:r>
        <w:rPr>
          <w:rFonts w:hint="default" w:ascii="仿宋_GB2312" w:hAnsi="仿宋_GB2312" w:eastAsia="仿宋_GB2312" w:cs="仿宋_GB2312"/>
          <w:strike w:val="0"/>
          <w:dstrike w:val="0"/>
          <w:color w:val="auto"/>
          <w:sz w:val="32"/>
          <w:szCs w:val="32"/>
          <w:lang w:val="en-US" w:eastAsia="zh-CN"/>
        </w:rPr>
        <w:t>改造</w:t>
      </w:r>
      <w:r>
        <w:rPr>
          <w:rFonts w:hint="eastAsia" w:ascii="仿宋_GB2312" w:hAnsi="仿宋_GB2312" w:eastAsia="仿宋_GB2312" w:cs="仿宋_GB2312"/>
          <w:strike w:val="0"/>
          <w:dstrike w:val="0"/>
          <w:color w:val="auto"/>
          <w:sz w:val="32"/>
          <w:szCs w:val="32"/>
          <w:lang w:val="en-US" w:eastAsia="zh-CN"/>
        </w:rPr>
        <w:t>（涉及20余个功能）</w:t>
      </w:r>
      <w:r>
        <w:rPr>
          <w:rFonts w:hint="default" w:ascii="仿宋_GB2312" w:hAnsi="仿宋_GB2312" w:eastAsia="仿宋_GB2312" w:cs="仿宋_GB2312"/>
          <w:strike w:val="0"/>
          <w:dstrike w:val="0"/>
          <w:color w:val="auto"/>
          <w:sz w:val="32"/>
          <w:szCs w:val="32"/>
          <w:lang w:val="en-US" w:eastAsia="zh-CN"/>
        </w:rPr>
        <w:t>、查询分析管理升级</w:t>
      </w:r>
      <w:r>
        <w:rPr>
          <w:rFonts w:hint="eastAsia" w:ascii="仿宋_GB2312" w:hAnsi="仿宋_GB2312" w:eastAsia="仿宋_GB2312" w:cs="仿宋_GB2312"/>
          <w:strike w:val="0"/>
          <w:dstrike w:val="0"/>
          <w:color w:val="auto"/>
          <w:sz w:val="32"/>
          <w:szCs w:val="32"/>
          <w:lang w:val="en-US" w:eastAsia="zh-CN"/>
        </w:rPr>
        <w:t>（涉及7个功能）</w:t>
      </w:r>
      <w:r>
        <w:rPr>
          <w:rFonts w:hint="default" w:ascii="仿宋_GB2312" w:hAnsi="仿宋_GB2312" w:eastAsia="仿宋_GB2312" w:cs="仿宋_GB2312"/>
          <w:strike w:val="0"/>
          <w:dstrike w:val="0"/>
          <w:color w:val="auto"/>
          <w:sz w:val="32"/>
          <w:szCs w:val="32"/>
          <w:lang w:val="en-US" w:eastAsia="zh-CN"/>
        </w:rPr>
        <w:t>、接口统一部署</w:t>
      </w:r>
      <w:r>
        <w:rPr>
          <w:rFonts w:hint="eastAsia" w:ascii="仿宋_GB2312" w:hAnsi="仿宋_GB2312" w:eastAsia="仿宋_GB2312" w:cs="仿宋_GB2312"/>
          <w:strike w:val="0"/>
          <w:dstrike w:val="0"/>
          <w:color w:val="auto"/>
          <w:sz w:val="32"/>
          <w:szCs w:val="32"/>
          <w:lang w:val="en-US" w:eastAsia="zh-CN"/>
        </w:rPr>
        <w:t>（涉及两个功能）</w:t>
      </w:r>
      <w:r>
        <w:rPr>
          <w:rFonts w:hint="default" w:ascii="仿宋_GB2312" w:hAnsi="仿宋_GB2312" w:eastAsia="仿宋_GB2312" w:cs="仿宋_GB2312"/>
          <w:strike w:val="0"/>
          <w:dstrike w:val="0"/>
          <w:color w:val="auto"/>
          <w:sz w:val="32"/>
          <w:szCs w:val="32"/>
          <w:lang w:val="en-US" w:eastAsia="zh-CN"/>
        </w:rPr>
        <w:t>、公共业务升级</w:t>
      </w:r>
      <w:r>
        <w:rPr>
          <w:rFonts w:hint="eastAsia" w:ascii="仿宋_GB2312" w:hAnsi="仿宋_GB2312" w:eastAsia="仿宋_GB2312" w:cs="仿宋_GB2312"/>
          <w:strike w:val="0"/>
          <w:dstrike w:val="0"/>
          <w:color w:val="auto"/>
          <w:sz w:val="32"/>
          <w:szCs w:val="32"/>
          <w:lang w:val="en-US" w:eastAsia="zh-CN"/>
        </w:rPr>
        <w:t>（涉及补缴补退业务管理等3个功能）</w:t>
      </w:r>
      <w:r>
        <w:rPr>
          <w:rFonts w:hint="default" w:ascii="仿宋_GB2312" w:hAnsi="仿宋_GB2312" w:eastAsia="仿宋_GB2312" w:cs="仿宋_GB2312"/>
          <w:strike w:val="0"/>
          <w:dstrike w:val="0"/>
          <w:color w:val="auto"/>
          <w:sz w:val="32"/>
          <w:szCs w:val="32"/>
          <w:lang w:val="en-US" w:eastAsia="zh-CN"/>
        </w:rPr>
        <w:t>、养老待遇管理、职业年金管理</w:t>
      </w:r>
      <w:r>
        <w:rPr>
          <w:rFonts w:hint="eastAsia" w:ascii="仿宋_GB2312" w:hAnsi="仿宋_GB2312" w:eastAsia="仿宋_GB2312" w:cs="仿宋_GB2312"/>
          <w:strike w:val="0"/>
          <w:dstrike w:val="0"/>
          <w:color w:val="auto"/>
          <w:sz w:val="32"/>
          <w:szCs w:val="32"/>
          <w:lang w:val="en-US" w:eastAsia="zh-CN"/>
        </w:rPr>
        <w:t>（涉及60余个功能）</w:t>
      </w:r>
      <w:r>
        <w:rPr>
          <w:rFonts w:hint="default" w:ascii="仿宋_GB2312" w:hAnsi="仿宋_GB2312" w:eastAsia="仿宋_GB2312" w:cs="仿宋_GB2312"/>
          <w:strike w:val="0"/>
          <w:dstrike w:val="0"/>
          <w:color w:val="auto"/>
          <w:sz w:val="32"/>
          <w:szCs w:val="32"/>
          <w:lang w:val="en-US" w:eastAsia="zh-CN"/>
        </w:rPr>
        <w:t>、省部报表</w:t>
      </w:r>
      <w:r>
        <w:rPr>
          <w:rFonts w:hint="eastAsia" w:ascii="仿宋_GB2312" w:hAnsi="仿宋_GB2312" w:eastAsia="仿宋_GB2312" w:cs="仿宋_GB2312"/>
          <w:strike w:val="0"/>
          <w:dstrike w:val="0"/>
          <w:color w:val="auto"/>
          <w:sz w:val="32"/>
          <w:szCs w:val="32"/>
          <w:lang w:val="en-US" w:eastAsia="zh-CN"/>
        </w:rPr>
        <w:t>（涉及月度报表和季度报表）</w:t>
      </w:r>
      <w:r>
        <w:rPr>
          <w:rFonts w:hint="default" w:ascii="仿宋_GB2312" w:hAnsi="仿宋_GB2312" w:eastAsia="仿宋_GB2312" w:cs="仿宋_GB2312"/>
          <w:strike w:val="0"/>
          <w:dstrike w:val="0"/>
          <w:color w:val="auto"/>
          <w:sz w:val="32"/>
          <w:szCs w:val="32"/>
          <w:lang w:val="en-US" w:eastAsia="zh-CN"/>
        </w:rPr>
        <w:t>、关系转移</w:t>
      </w:r>
      <w:r>
        <w:rPr>
          <w:rFonts w:hint="eastAsia" w:ascii="仿宋_GB2312" w:hAnsi="仿宋_GB2312" w:eastAsia="仿宋_GB2312" w:cs="仿宋_GB2312"/>
          <w:strike w:val="0"/>
          <w:dstrike w:val="0"/>
          <w:color w:val="auto"/>
          <w:sz w:val="32"/>
          <w:szCs w:val="32"/>
          <w:lang w:val="en-US" w:eastAsia="zh-CN"/>
        </w:rPr>
        <w:t>（涉及8个功能）</w:t>
      </w:r>
      <w:r>
        <w:rPr>
          <w:rFonts w:hint="default" w:ascii="仿宋_GB2312" w:hAnsi="仿宋_GB2312" w:eastAsia="仿宋_GB2312" w:cs="仿宋_GB2312"/>
          <w:strike w:val="0"/>
          <w:dstrike w:val="0"/>
          <w:color w:val="auto"/>
          <w:sz w:val="32"/>
          <w:szCs w:val="32"/>
          <w:lang w:val="en-US" w:eastAsia="zh-CN"/>
        </w:rPr>
        <w:t>、改革前试点缴费、转保留人员待遇核定、公共服务接口</w:t>
      </w:r>
      <w:r>
        <w:rPr>
          <w:rFonts w:hint="eastAsia" w:ascii="仿宋_GB2312" w:hAnsi="仿宋_GB2312" w:eastAsia="仿宋_GB2312" w:cs="仿宋_GB2312"/>
          <w:strike w:val="0"/>
          <w:dstrike w:val="0"/>
          <w:color w:val="auto"/>
          <w:sz w:val="32"/>
          <w:szCs w:val="32"/>
          <w:lang w:val="en-US" w:eastAsia="zh-CN"/>
        </w:rPr>
        <w:t>（涉及4个功能）</w:t>
      </w:r>
      <w:r>
        <w:rPr>
          <w:rFonts w:hint="default" w:ascii="仿宋_GB2312" w:hAnsi="仿宋_GB2312" w:eastAsia="仿宋_GB2312" w:cs="仿宋_GB2312"/>
          <w:strike w:val="0"/>
          <w:dstrike w:val="0"/>
          <w:color w:val="auto"/>
          <w:sz w:val="32"/>
          <w:szCs w:val="32"/>
          <w:lang w:val="en-US" w:eastAsia="zh-CN"/>
        </w:rPr>
        <w:t>及数据共享</w:t>
      </w:r>
      <w:r>
        <w:rPr>
          <w:rFonts w:hint="eastAsia" w:ascii="仿宋_GB2312" w:hAnsi="仿宋_GB2312" w:eastAsia="仿宋_GB2312" w:cs="仿宋_GB2312"/>
          <w:strike w:val="0"/>
          <w:dstrike w:val="0"/>
          <w:color w:val="auto"/>
          <w:sz w:val="32"/>
          <w:szCs w:val="32"/>
          <w:lang w:val="en-US" w:eastAsia="zh-CN"/>
        </w:rPr>
        <w:t>（接口方式和全民参保系统、中线平台等进行对接，能实现与人社部门及其他外部系统的数据对接等工作）</w:t>
      </w:r>
      <w:r>
        <w:rPr>
          <w:rFonts w:hint="default" w:ascii="仿宋_GB2312" w:hAnsi="仿宋_GB2312" w:eastAsia="仿宋_GB2312" w:cs="仿宋_GB2312"/>
          <w:strike w:val="0"/>
          <w:dstrike w:val="0"/>
          <w:color w:val="auto"/>
          <w:sz w:val="32"/>
          <w:szCs w:val="32"/>
          <w:lang w:val="en-US" w:eastAsia="zh-CN"/>
        </w:rPr>
        <w:t>等</w:t>
      </w:r>
      <w:r>
        <w:rPr>
          <w:rFonts w:hint="eastAsia" w:ascii="仿宋_GB2312" w:hAnsi="仿宋_GB2312" w:eastAsia="仿宋_GB2312" w:cs="仿宋_GB2312"/>
          <w:strike w:val="0"/>
          <w:dstrike w:val="0"/>
          <w:color w:val="auto"/>
          <w:sz w:val="32"/>
          <w:szCs w:val="32"/>
          <w:lang w:val="en-US" w:eastAsia="zh-CN"/>
        </w:rPr>
        <w:t>。</w:t>
      </w:r>
    </w:p>
    <w:p w14:paraId="440CD6CC">
      <w:pPr>
        <w:pStyle w:val="7"/>
        <w:numPr>
          <w:ilvl w:val="-1"/>
          <w:numId w:val="0"/>
        </w:numPr>
        <w:bidi w:val="0"/>
        <w:ind w:firstLine="643" w:firstLineChars="200"/>
        <w:rPr>
          <w:rFonts w:hint="eastAsia" w:cs="仿宋_GB2312"/>
          <w:color w:val="auto"/>
          <w:szCs w:val="32"/>
          <w:lang w:val="en-US" w:eastAsia="zh-CN"/>
        </w:rPr>
      </w:pPr>
      <w:r>
        <w:rPr>
          <w:rFonts w:hint="eastAsia" w:cs="仿宋_GB2312"/>
          <w:color w:val="auto"/>
          <w:szCs w:val="32"/>
          <w:lang w:val="en-US" w:eastAsia="zh-CN"/>
        </w:rPr>
        <w:t>（3）贵州省社会保险网上服务系统</w:t>
      </w:r>
    </w:p>
    <w:p w14:paraId="7F57E2B4">
      <w:pPr>
        <w:pStyle w:val="8"/>
        <w:numPr>
          <w:ilvl w:val="-1"/>
          <w:numId w:val="0"/>
          <w:ins w:id="10" w:author="ysgz" w:date=""/>
        </w:numPr>
        <w:bidi w:val="0"/>
        <w:ind w:left="0" w:leftChars="0" w:firstLine="643" w:firstLineChars="200"/>
        <w:rPr>
          <w:rFonts w:hint="eastAsia"/>
          <w:lang w:val="en-US" w:eastAsia="zh-CN"/>
        </w:rPr>
      </w:pPr>
      <w:r>
        <w:rPr>
          <w:rFonts w:hint="eastAsia"/>
          <w:lang w:val="en-US" w:eastAsia="zh-CN"/>
        </w:rPr>
        <w:t>a.系统现状</w:t>
      </w:r>
    </w:p>
    <w:p w14:paraId="491D27F6">
      <w:pPr>
        <w:ind w:firstLine="0" w:firstLineChars="0"/>
        <w:jc w:val="center"/>
        <w:rPr>
          <w:rFonts w:hint="eastAsia"/>
          <w:lang w:val="en-US" w:eastAsia="zh-CN"/>
        </w:rPr>
      </w:pPr>
      <w:r>
        <w:rPr>
          <w:rFonts w:hint="eastAsia" w:ascii="黑体" w:hAnsi="黑体" w:eastAsia="黑体" w:cs="黑体"/>
          <w:strike w:val="0"/>
          <w:dstrike w:val="0"/>
          <w:color w:val="auto"/>
          <w:sz w:val="32"/>
          <w:szCs w:val="32"/>
          <w:lang w:val="en-US" w:eastAsia="zh-CN"/>
        </w:rPr>
        <w:t>应用服务器配置及数量描述</w:t>
      </w:r>
    </w:p>
    <w:tbl>
      <w:tblPr>
        <w:tblStyle w:val="15"/>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57" w:type="dxa"/>
          <w:bottom w:w="0" w:type="dxa"/>
          <w:right w:w="57" w:type="dxa"/>
        </w:tblCellMar>
      </w:tblPr>
      <w:tblGrid>
        <w:gridCol w:w="397"/>
        <w:gridCol w:w="954"/>
        <w:gridCol w:w="3115"/>
        <w:gridCol w:w="1350"/>
        <w:gridCol w:w="1351"/>
        <w:gridCol w:w="1787"/>
      </w:tblGrid>
      <w:tr w14:paraId="3238F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365" w:hRule="atLeast"/>
        </w:trPr>
        <w:tc>
          <w:tcPr>
            <w:tcW w:w="222" w:type="pct"/>
            <w:tcBorders>
              <w:tl2br w:val="nil"/>
              <w:tr2bl w:val="nil"/>
            </w:tcBorders>
            <w:shd w:val="clear" w:color="auto" w:fill="auto"/>
            <w:vAlign w:val="top"/>
          </w:tcPr>
          <w:p w14:paraId="2DE880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532" w:type="pct"/>
            <w:tcBorders>
              <w:tl2br w:val="nil"/>
              <w:tr2bl w:val="nil"/>
            </w:tcBorders>
            <w:shd w:val="clear" w:color="auto" w:fill="auto"/>
            <w:vAlign w:val="top"/>
          </w:tcPr>
          <w:p w14:paraId="225507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数量（台）</w:t>
            </w:r>
          </w:p>
        </w:tc>
        <w:tc>
          <w:tcPr>
            <w:tcW w:w="1738" w:type="pct"/>
            <w:tcBorders>
              <w:tl2br w:val="nil"/>
              <w:tr2bl w:val="nil"/>
            </w:tcBorders>
            <w:shd w:val="clear" w:color="auto" w:fill="auto"/>
            <w:vAlign w:val="center"/>
          </w:tcPr>
          <w:p w14:paraId="3D1DD8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配置</w:t>
            </w:r>
          </w:p>
        </w:tc>
        <w:tc>
          <w:tcPr>
            <w:tcW w:w="753" w:type="pct"/>
            <w:tcBorders>
              <w:tl2br w:val="nil"/>
              <w:tr2bl w:val="nil"/>
            </w:tcBorders>
            <w:shd w:val="clear" w:color="auto" w:fill="auto"/>
            <w:vAlign w:val="top"/>
          </w:tcPr>
          <w:p w14:paraId="73930D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部署区域</w:t>
            </w:r>
          </w:p>
        </w:tc>
        <w:tc>
          <w:tcPr>
            <w:tcW w:w="754" w:type="pct"/>
            <w:tcBorders>
              <w:tl2br w:val="nil"/>
              <w:tr2bl w:val="nil"/>
            </w:tcBorders>
            <w:shd w:val="clear" w:color="auto" w:fill="auto"/>
            <w:vAlign w:val="top"/>
          </w:tcPr>
          <w:p w14:paraId="2D13F2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sz w:val="28"/>
                <w:szCs w:val="28"/>
                <w:u w:val="none"/>
                <w:lang w:val="en-US" w:eastAsia="zh-CN"/>
              </w:rPr>
            </w:pPr>
            <w:r>
              <w:rPr>
                <w:rFonts w:hint="eastAsia" w:hAnsi="宋体" w:cs="仿宋_GB2312"/>
                <w:i w:val="0"/>
                <w:iCs w:val="0"/>
                <w:color w:val="000000"/>
                <w:sz w:val="28"/>
                <w:szCs w:val="28"/>
                <w:u w:val="none"/>
                <w:lang w:val="en-US" w:eastAsia="zh-CN"/>
              </w:rPr>
              <w:t>运行网络</w:t>
            </w:r>
          </w:p>
        </w:tc>
        <w:tc>
          <w:tcPr>
            <w:tcW w:w="997" w:type="pct"/>
            <w:tcBorders>
              <w:tl2br w:val="nil"/>
              <w:tr2bl w:val="nil"/>
            </w:tcBorders>
            <w:shd w:val="clear" w:color="auto" w:fill="auto"/>
            <w:vAlign w:val="top"/>
          </w:tcPr>
          <w:p w14:paraId="619974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14:paraId="2F186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715" w:hRule="atLeast"/>
        </w:trPr>
        <w:tc>
          <w:tcPr>
            <w:tcW w:w="222" w:type="pct"/>
            <w:tcBorders>
              <w:tl2br w:val="nil"/>
              <w:tr2bl w:val="nil"/>
            </w:tcBorders>
            <w:shd w:val="clear" w:color="auto" w:fill="auto"/>
            <w:vAlign w:val="top"/>
          </w:tcPr>
          <w:p w14:paraId="314BAC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 </w:t>
            </w:r>
          </w:p>
        </w:tc>
        <w:tc>
          <w:tcPr>
            <w:tcW w:w="532" w:type="pct"/>
            <w:tcBorders>
              <w:tl2br w:val="nil"/>
              <w:tr2bl w:val="nil"/>
            </w:tcBorders>
            <w:shd w:val="clear" w:color="auto" w:fill="auto"/>
            <w:vAlign w:val="top"/>
          </w:tcPr>
          <w:p w14:paraId="51FCB8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23</w:t>
            </w:r>
          </w:p>
        </w:tc>
        <w:tc>
          <w:tcPr>
            <w:tcW w:w="1738" w:type="pct"/>
            <w:tcBorders>
              <w:tl2br w:val="nil"/>
              <w:tr2bl w:val="nil"/>
            </w:tcBorders>
            <w:shd w:val="clear" w:color="auto" w:fill="auto"/>
            <w:vAlign w:val="top"/>
          </w:tcPr>
          <w:p w14:paraId="02C39A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CPU:8核；内存：48GB；磁盘：100 GB</w:t>
            </w:r>
          </w:p>
        </w:tc>
        <w:tc>
          <w:tcPr>
            <w:tcW w:w="753" w:type="pct"/>
            <w:vMerge w:val="restart"/>
            <w:tcBorders>
              <w:tl2br w:val="nil"/>
              <w:tr2bl w:val="nil"/>
            </w:tcBorders>
            <w:shd w:val="clear" w:color="auto" w:fill="auto"/>
            <w:vAlign w:val="top"/>
          </w:tcPr>
          <w:p w14:paraId="06B778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人社厅数据中心</w:t>
            </w:r>
          </w:p>
        </w:tc>
        <w:tc>
          <w:tcPr>
            <w:tcW w:w="754" w:type="pct"/>
            <w:tcBorders>
              <w:tl2br w:val="nil"/>
              <w:tr2bl w:val="nil"/>
            </w:tcBorders>
            <w:shd w:val="clear" w:color="auto" w:fill="auto"/>
            <w:vAlign w:val="top"/>
          </w:tcPr>
          <w:p w14:paraId="51AD24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金保网</w:t>
            </w:r>
          </w:p>
        </w:tc>
        <w:tc>
          <w:tcPr>
            <w:tcW w:w="997" w:type="pct"/>
            <w:tcBorders>
              <w:tl2br w:val="nil"/>
              <w:tr2bl w:val="nil"/>
            </w:tcBorders>
            <w:shd w:val="clear" w:color="auto" w:fill="auto"/>
            <w:vAlign w:val="top"/>
          </w:tcPr>
          <w:p w14:paraId="11A409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sz w:val="28"/>
                <w:szCs w:val="28"/>
                <w:u w:val="none"/>
                <w:lang w:val="en-US" w:eastAsia="zh-CN"/>
              </w:rPr>
            </w:pPr>
          </w:p>
        </w:tc>
      </w:tr>
      <w:tr w14:paraId="7D3AA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715" w:hRule="atLeast"/>
        </w:trPr>
        <w:tc>
          <w:tcPr>
            <w:tcW w:w="222" w:type="pct"/>
            <w:tcBorders>
              <w:tl2br w:val="nil"/>
              <w:tr2bl w:val="nil"/>
            </w:tcBorders>
            <w:shd w:val="clear" w:color="auto" w:fill="auto"/>
            <w:vAlign w:val="top"/>
          </w:tcPr>
          <w:p w14:paraId="6B39BC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w:t>
            </w:r>
          </w:p>
        </w:tc>
        <w:tc>
          <w:tcPr>
            <w:tcW w:w="532" w:type="pct"/>
            <w:tcBorders>
              <w:tl2br w:val="nil"/>
              <w:tr2bl w:val="nil"/>
            </w:tcBorders>
            <w:shd w:val="clear" w:color="auto" w:fill="auto"/>
            <w:vAlign w:val="top"/>
          </w:tcPr>
          <w:p w14:paraId="4160A9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17</w:t>
            </w:r>
          </w:p>
        </w:tc>
        <w:tc>
          <w:tcPr>
            <w:tcW w:w="1738" w:type="pct"/>
            <w:tcBorders>
              <w:tl2br w:val="nil"/>
              <w:tr2bl w:val="nil"/>
            </w:tcBorders>
            <w:shd w:val="clear" w:color="auto" w:fill="auto"/>
            <w:vAlign w:val="top"/>
          </w:tcPr>
          <w:p w14:paraId="10537C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CPU:8核；内存：48GB；磁盘：100 GB</w:t>
            </w:r>
          </w:p>
        </w:tc>
        <w:tc>
          <w:tcPr>
            <w:tcW w:w="753" w:type="pct"/>
            <w:vMerge w:val="continue"/>
            <w:tcBorders>
              <w:tl2br w:val="nil"/>
              <w:tr2bl w:val="nil"/>
            </w:tcBorders>
            <w:shd w:val="clear" w:color="auto" w:fill="auto"/>
            <w:vAlign w:val="top"/>
          </w:tcPr>
          <w:p w14:paraId="5DCF10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c>
          <w:tcPr>
            <w:tcW w:w="754" w:type="pct"/>
            <w:tcBorders>
              <w:tl2br w:val="nil"/>
              <w:tr2bl w:val="nil"/>
            </w:tcBorders>
            <w:shd w:val="clear" w:color="auto" w:fill="auto"/>
            <w:vAlign w:val="top"/>
          </w:tcPr>
          <w:p w14:paraId="7800A9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8"/>
                <w:szCs w:val="28"/>
                <w:u w:val="none"/>
                <w:lang w:val="en-US" w:eastAsia="zh-CN" w:bidi="ar"/>
              </w:rPr>
              <w:t>互联网</w:t>
            </w:r>
          </w:p>
        </w:tc>
        <w:tc>
          <w:tcPr>
            <w:tcW w:w="997" w:type="pct"/>
            <w:tcBorders>
              <w:tl2br w:val="nil"/>
              <w:tr2bl w:val="nil"/>
            </w:tcBorders>
            <w:shd w:val="clear" w:color="auto" w:fill="auto"/>
            <w:vAlign w:val="top"/>
          </w:tcPr>
          <w:p w14:paraId="2F8E52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sz w:val="28"/>
                <w:szCs w:val="28"/>
                <w:u w:val="none"/>
                <w:lang w:val="en-US" w:eastAsia="zh-CN"/>
              </w:rPr>
            </w:pPr>
            <w:r>
              <w:rPr>
                <w:rFonts w:hint="eastAsia" w:hAnsi="宋体" w:cs="仿宋_GB2312"/>
                <w:i w:val="0"/>
                <w:iCs w:val="0"/>
                <w:color w:val="000000"/>
                <w:sz w:val="28"/>
                <w:szCs w:val="28"/>
                <w:u w:val="none"/>
                <w:lang w:val="en-US" w:eastAsia="zh-CN"/>
              </w:rPr>
              <w:t>公服区</w:t>
            </w:r>
          </w:p>
        </w:tc>
      </w:tr>
    </w:tbl>
    <w:p w14:paraId="25322EE8">
      <w:pPr>
        <w:ind w:firstLine="0" w:firstLineChars="0"/>
        <w:jc w:val="center"/>
        <w:rPr>
          <w:rFonts w:hint="eastAsia" w:ascii="黑体" w:hAnsi="黑体" w:eastAsia="黑体" w:cs="黑体"/>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安全设备</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029"/>
        <w:gridCol w:w="5016"/>
        <w:gridCol w:w="776"/>
        <w:gridCol w:w="1056"/>
        <w:gridCol w:w="1180"/>
      </w:tblGrid>
      <w:tr w14:paraId="6865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86" w:type="pct"/>
            <w:tcBorders>
              <w:tl2br w:val="nil"/>
              <w:tr2bl w:val="nil"/>
            </w:tcBorders>
            <w:shd w:val="clear" w:color="auto" w:fill="auto"/>
            <w:vAlign w:val="center"/>
          </w:tcPr>
          <w:p w14:paraId="5C57D3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型号</w:t>
            </w:r>
          </w:p>
        </w:tc>
        <w:tc>
          <w:tcPr>
            <w:tcW w:w="2786" w:type="pct"/>
            <w:tcBorders>
              <w:tl2br w:val="nil"/>
              <w:tr2bl w:val="nil"/>
            </w:tcBorders>
            <w:shd w:val="clear" w:color="auto" w:fill="auto"/>
            <w:vAlign w:val="center"/>
          </w:tcPr>
          <w:p w14:paraId="16F2B3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配置</w:t>
            </w:r>
          </w:p>
        </w:tc>
        <w:tc>
          <w:tcPr>
            <w:tcW w:w="442" w:type="pct"/>
            <w:tcBorders>
              <w:tl2br w:val="nil"/>
              <w:tr2bl w:val="nil"/>
            </w:tcBorders>
            <w:shd w:val="clear" w:color="auto" w:fill="auto"/>
            <w:vAlign w:val="center"/>
          </w:tcPr>
          <w:p w14:paraId="308F64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数量</w:t>
            </w:r>
            <w:r>
              <w:rPr>
                <w:rFonts w:hint="eastAsia" w:hAnsi="宋体" w:cs="仿宋_GB2312"/>
                <w:i w:val="0"/>
                <w:iCs w:val="0"/>
                <w:color w:val="000000"/>
                <w:kern w:val="0"/>
                <w:sz w:val="28"/>
                <w:szCs w:val="28"/>
                <w:u w:val="none"/>
                <w:lang w:val="en-US" w:eastAsia="zh-CN" w:bidi="ar"/>
              </w:rPr>
              <w:t>(台)</w:t>
            </w:r>
          </w:p>
        </w:tc>
        <w:tc>
          <w:tcPr>
            <w:tcW w:w="511" w:type="pct"/>
            <w:tcBorders>
              <w:tl2br w:val="nil"/>
              <w:tr2bl w:val="nil"/>
            </w:tcBorders>
            <w:shd w:val="clear" w:color="auto" w:fill="auto"/>
            <w:vAlign w:val="center"/>
          </w:tcPr>
          <w:p w14:paraId="3B1B85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授权</w:t>
            </w:r>
            <w:r>
              <w:rPr>
                <w:rFonts w:hint="eastAsia" w:hAnsi="宋体" w:cs="仿宋_GB2312"/>
                <w:i w:val="0"/>
                <w:iCs w:val="0"/>
                <w:color w:val="000000"/>
                <w:kern w:val="0"/>
                <w:sz w:val="28"/>
                <w:szCs w:val="28"/>
                <w:u w:val="none"/>
                <w:lang w:val="en-US" w:eastAsia="zh-CN" w:bidi="ar"/>
              </w:rPr>
              <w:t>（个）</w:t>
            </w:r>
          </w:p>
        </w:tc>
        <w:tc>
          <w:tcPr>
            <w:tcW w:w="673" w:type="pct"/>
            <w:tcBorders>
              <w:tl2br w:val="nil"/>
              <w:tr2bl w:val="nil"/>
            </w:tcBorders>
            <w:shd w:val="clear" w:color="auto" w:fill="auto"/>
            <w:vAlign w:val="center"/>
          </w:tcPr>
          <w:p w14:paraId="6EB9A5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部署</w:t>
            </w:r>
            <w:r>
              <w:rPr>
                <w:rFonts w:hint="eastAsia" w:hAnsi="宋体" w:cs="仿宋_GB2312"/>
                <w:i w:val="0"/>
                <w:iCs w:val="0"/>
                <w:color w:val="000000"/>
                <w:kern w:val="0"/>
                <w:sz w:val="28"/>
                <w:szCs w:val="28"/>
                <w:u w:val="none"/>
                <w:lang w:val="en-US" w:eastAsia="zh-CN" w:bidi="ar"/>
              </w:rPr>
              <w:t>情况</w:t>
            </w:r>
          </w:p>
        </w:tc>
      </w:tr>
      <w:tr w14:paraId="109BC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86" w:type="pct"/>
            <w:vMerge w:val="restart"/>
            <w:tcBorders>
              <w:tl2br w:val="nil"/>
              <w:tr2bl w:val="nil"/>
            </w:tcBorders>
            <w:shd w:val="clear" w:color="auto" w:fill="auto"/>
            <w:vAlign w:val="center"/>
          </w:tcPr>
          <w:p w14:paraId="6396E9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天融信</w:t>
            </w:r>
          </w:p>
          <w:p w14:paraId="6DF2A3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VPN</w:t>
            </w:r>
          </w:p>
        </w:tc>
        <w:tc>
          <w:tcPr>
            <w:tcW w:w="2786" w:type="pct"/>
            <w:tcBorders>
              <w:tl2br w:val="nil"/>
              <w:tr2bl w:val="nil"/>
            </w:tcBorders>
            <w:shd w:val="clear" w:color="auto" w:fill="auto"/>
            <w:vAlign w:val="center"/>
          </w:tcPr>
          <w:p w14:paraId="4617AA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U机架式结构；最大配置为26个接口，默认包括2个可插拔的扩展槽，4个10/100/1000BASE-T接口及4个SFP插槽，防火墙吞吐率&gt;16G,最大并发连接数&gt;2000000；SSL吞吐率&gt;800Mbps，SSL并发用户数&gt;10000；含IPSECVPN功能，默认含5个SSL VPN客户端许可和5个IPSEC VPN客户端许可。标配冗余电源。</w:t>
            </w:r>
          </w:p>
        </w:tc>
        <w:tc>
          <w:tcPr>
            <w:tcW w:w="442" w:type="pct"/>
            <w:tcBorders>
              <w:tl2br w:val="nil"/>
              <w:tr2bl w:val="nil"/>
            </w:tcBorders>
            <w:shd w:val="clear" w:color="auto" w:fill="auto"/>
            <w:vAlign w:val="center"/>
          </w:tcPr>
          <w:p w14:paraId="22774E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14:paraId="6D0EDD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2000</w:t>
            </w:r>
          </w:p>
        </w:tc>
        <w:tc>
          <w:tcPr>
            <w:tcW w:w="673" w:type="pct"/>
            <w:vMerge w:val="restart"/>
            <w:tcBorders>
              <w:tl2br w:val="nil"/>
              <w:tr2bl w:val="nil"/>
            </w:tcBorders>
            <w:shd w:val="clear" w:color="auto" w:fill="auto"/>
            <w:vAlign w:val="center"/>
          </w:tcPr>
          <w:p w14:paraId="72A675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sz w:val="28"/>
                <w:szCs w:val="28"/>
                <w:u w:val="none"/>
                <w:lang w:val="en-US" w:eastAsia="zh-CN"/>
              </w:rPr>
            </w:pPr>
            <w:r>
              <w:rPr>
                <w:rFonts w:hint="eastAsia" w:hAnsi="宋体" w:cs="仿宋_GB2312"/>
                <w:i w:val="0"/>
                <w:iCs w:val="0"/>
                <w:color w:val="000000"/>
                <w:sz w:val="28"/>
                <w:szCs w:val="28"/>
                <w:u w:val="none"/>
                <w:lang w:val="en-US" w:eastAsia="zh-CN"/>
              </w:rPr>
              <w:t>区域：</w:t>
            </w:r>
            <w:r>
              <w:rPr>
                <w:rFonts w:hint="eastAsia" w:ascii="仿宋_GB2312" w:hAnsi="宋体" w:eastAsia="仿宋_GB2312" w:cs="仿宋_GB2312"/>
                <w:i w:val="0"/>
                <w:iCs w:val="0"/>
                <w:color w:val="000000"/>
                <w:sz w:val="28"/>
                <w:szCs w:val="28"/>
                <w:u w:val="none"/>
                <w:lang w:val="en-US" w:eastAsia="zh-CN"/>
              </w:rPr>
              <w:t>人社厅数据中心</w:t>
            </w:r>
          </w:p>
          <w:p w14:paraId="4B6CA3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sz w:val="28"/>
                <w:szCs w:val="28"/>
                <w:u w:val="none"/>
                <w:lang w:val="en-US" w:eastAsia="zh-CN"/>
              </w:rPr>
              <w:t>网络：公服区（</w:t>
            </w:r>
            <w:r>
              <w:rPr>
                <w:rFonts w:hint="eastAsia" w:ascii="仿宋_GB2312" w:hAnsi="宋体" w:eastAsia="仿宋_GB2312" w:cs="仿宋_GB2312"/>
                <w:i w:val="0"/>
                <w:iCs w:val="0"/>
                <w:color w:val="000000"/>
                <w:sz w:val="28"/>
                <w:szCs w:val="28"/>
                <w:u w:val="none"/>
                <w:lang w:val="en-US" w:eastAsia="zh-CN"/>
              </w:rPr>
              <w:t>互联网区</w:t>
            </w:r>
            <w:r>
              <w:rPr>
                <w:rFonts w:hint="eastAsia" w:hAnsi="宋体" w:cs="仿宋_GB2312"/>
                <w:i w:val="0"/>
                <w:iCs w:val="0"/>
                <w:color w:val="000000"/>
                <w:sz w:val="28"/>
                <w:szCs w:val="28"/>
                <w:u w:val="none"/>
                <w:lang w:val="en-US" w:eastAsia="zh-CN"/>
              </w:rPr>
              <w:t>）</w:t>
            </w:r>
          </w:p>
        </w:tc>
      </w:tr>
      <w:tr w14:paraId="0C322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86" w:type="pct"/>
            <w:vMerge w:val="continue"/>
            <w:tcBorders>
              <w:tl2br w:val="nil"/>
              <w:tr2bl w:val="nil"/>
            </w:tcBorders>
            <w:shd w:val="clear" w:color="auto" w:fill="auto"/>
            <w:vAlign w:val="center"/>
          </w:tcPr>
          <w:p w14:paraId="0DC417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c>
          <w:tcPr>
            <w:tcW w:w="2786" w:type="pct"/>
            <w:tcBorders>
              <w:tl2br w:val="nil"/>
              <w:tr2bl w:val="nil"/>
            </w:tcBorders>
            <w:shd w:val="clear" w:color="auto" w:fill="auto"/>
            <w:vAlign w:val="center"/>
          </w:tcPr>
          <w:p w14:paraId="3BEAF1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NV-618262U，6个千兆电口，4个千兆光口，冗余电源，2个扩展槽位，IPSEC吞吐率：2.5Gbps；IPSEC VPN隧道数：20000；SSL吞吐率：2.5Gbps；SSL并发用户数：12000；</w:t>
            </w:r>
          </w:p>
        </w:tc>
        <w:tc>
          <w:tcPr>
            <w:tcW w:w="442" w:type="pct"/>
            <w:tcBorders>
              <w:tl2br w:val="nil"/>
              <w:tr2bl w:val="nil"/>
            </w:tcBorders>
            <w:shd w:val="clear" w:color="auto" w:fill="auto"/>
            <w:vAlign w:val="center"/>
          </w:tcPr>
          <w:p w14:paraId="59CFB5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14:paraId="63B86D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16000</w:t>
            </w:r>
          </w:p>
        </w:tc>
        <w:tc>
          <w:tcPr>
            <w:tcW w:w="673" w:type="pct"/>
            <w:vMerge w:val="continue"/>
            <w:tcBorders>
              <w:tl2br w:val="nil"/>
              <w:tr2bl w:val="nil"/>
            </w:tcBorders>
            <w:shd w:val="clear" w:color="auto" w:fill="auto"/>
            <w:vAlign w:val="center"/>
          </w:tcPr>
          <w:p w14:paraId="54B2F8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r w14:paraId="23313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86" w:type="pct"/>
            <w:tcBorders>
              <w:tl2br w:val="nil"/>
              <w:tr2bl w:val="nil"/>
            </w:tcBorders>
            <w:shd w:val="clear" w:color="auto" w:fill="auto"/>
            <w:vAlign w:val="center"/>
          </w:tcPr>
          <w:p w14:paraId="00253A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链路</w:t>
            </w:r>
          </w:p>
          <w:p w14:paraId="58306F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负载</w:t>
            </w:r>
          </w:p>
        </w:tc>
        <w:tc>
          <w:tcPr>
            <w:tcW w:w="2786" w:type="pct"/>
            <w:tcBorders>
              <w:tl2br w:val="nil"/>
              <w:tr2bl w:val="nil"/>
            </w:tcBorders>
            <w:shd w:val="clear" w:color="auto" w:fill="auto"/>
            <w:vAlign w:val="center"/>
          </w:tcPr>
          <w:p w14:paraId="2E85C9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442" w:type="pct"/>
            <w:tcBorders>
              <w:tl2br w:val="nil"/>
              <w:tr2bl w:val="nil"/>
            </w:tcBorders>
            <w:shd w:val="clear" w:color="auto" w:fill="auto"/>
            <w:vAlign w:val="center"/>
          </w:tcPr>
          <w:p w14:paraId="336972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14:paraId="1149BB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673" w:type="pct"/>
            <w:vMerge w:val="continue"/>
            <w:tcBorders>
              <w:tl2br w:val="nil"/>
              <w:tr2bl w:val="nil"/>
            </w:tcBorders>
            <w:shd w:val="clear" w:color="auto" w:fill="auto"/>
            <w:vAlign w:val="center"/>
          </w:tcPr>
          <w:p w14:paraId="44ABDD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r w14:paraId="3119F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86" w:type="pct"/>
            <w:tcBorders>
              <w:tl2br w:val="nil"/>
              <w:tr2bl w:val="nil"/>
            </w:tcBorders>
            <w:shd w:val="clear" w:color="auto" w:fill="auto"/>
            <w:vAlign w:val="center"/>
          </w:tcPr>
          <w:p w14:paraId="354BE8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8"/>
                <w:szCs w:val="28"/>
                <w:u w:val="none"/>
                <w:lang w:val="en-US" w:eastAsia="zh-CN" w:bidi="ar"/>
              </w:rPr>
              <w:t>WAF</w:t>
            </w:r>
          </w:p>
          <w:p w14:paraId="1841C9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default" w:ascii="仿宋_GB2312" w:hAnsi="宋体" w:eastAsia="仿宋_GB2312" w:cs="仿宋_GB2312"/>
                <w:i w:val="0"/>
                <w:iCs w:val="0"/>
                <w:color w:val="000000"/>
                <w:kern w:val="0"/>
                <w:sz w:val="28"/>
                <w:szCs w:val="28"/>
                <w:u w:val="none"/>
                <w:lang w:val="en-US" w:eastAsia="zh-CN" w:bidi="ar"/>
              </w:rPr>
              <w:t>防火墙</w:t>
            </w:r>
          </w:p>
        </w:tc>
        <w:tc>
          <w:tcPr>
            <w:tcW w:w="2786" w:type="pct"/>
            <w:tcBorders>
              <w:tl2br w:val="nil"/>
              <w:tr2bl w:val="nil"/>
            </w:tcBorders>
            <w:shd w:val="clear" w:color="auto" w:fill="auto"/>
            <w:vAlign w:val="center"/>
          </w:tcPr>
          <w:p w14:paraId="7327CD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防DDOS</w:t>
            </w:r>
          </w:p>
        </w:tc>
        <w:tc>
          <w:tcPr>
            <w:tcW w:w="442" w:type="pct"/>
            <w:tcBorders>
              <w:tl2br w:val="nil"/>
              <w:tr2bl w:val="nil"/>
            </w:tcBorders>
            <w:shd w:val="clear" w:color="auto" w:fill="auto"/>
            <w:vAlign w:val="center"/>
          </w:tcPr>
          <w:p w14:paraId="5565EB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14:paraId="107BA3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673" w:type="pct"/>
            <w:vMerge w:val="continue"/>
            <w:tcBorders>
              <w:tl2br w:val="nil"/>
              <w:tr2bl w:val="nil"/>
            </w:tcBorders>
            <w:shd w:val="clear" w:color="auto" w:fill="auto"/>
            <w:vAlign w:val="center"/>
          </w:tcPr>
          <w:p w14:paraId="62BF1B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r w14:paraId="7081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86" w:type="pct"/>
            <w:tcBorders>
              <w:tl2br w:val="nil"/>
              <w:tr2bl w:val="nil"/>
            </w:tcBorders>
            <w:shd w:val="clear" w:color="auto" w:fill="auto"/>
            <w:vAlign w:val="center"/>
          </w:tcPr>
          <w:p w14:paraId="38758F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蜜罐</w:t>
            </w:r>
          </w:p>
        </w:tc>
        <w:tc>
          <w:tcPr>
            <w:tcW w:w="2786" w:type="pct"/>
            <w:tcBorders>
              <w:tl2br w:val="nil"/>
              <w:tr2bl w:val="nil"/>
            </w:tcBorders>
            <w:shd w:val="clear" w:color="auto" w:fill="auto"/>
            <w:vAlign w:val="center"/>
          </w:tcPr>
          <w:p w14:paraId="4B210B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442" w:type="pct"/>
            <w:tcBorders>
              <w:tl2br w:val="nil"/>
              <w:tr2bl w:val="nil"/>
            </w:tcBorders>
            <w:shd w:val="clear" w:color="auto" w:fill="auto"/>
            <w:vAlign w:val="center"/>
          </w:tcPr>
          <w:p w14:paraId="48F118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2</w:t>
            </w:r>
          </w:p>
        </w:tc>
        <w:tc>
          <w:tcPr>
            <w:tcW w:w="511" w:type="pct"/>
            <w:tcBorders>
              <w:tl2br w:val="nil"/>
              <w:tr2bl w:val="nil"/>
            </w:tcBorders>
            <w:shd w:val="clear" w:color="auto" w:fill="auto"/>
            <w:vAlign w:val="center"/>
          </w:tcPr>
          <w:p w14:paraId="3509A7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default" w:ascii="仿宋_GB2312" w:hAnsi="宋体" w:eastAsia="仿宋_GB2312" w:cs="仿宋_GB2312"/>
                <w:i w:val="0"/>
                <w:iCs w:val="0"/>
                <w:color w:val="000000"/>
                <w:kern w:val="0"/>
                <w:sz w:val="28"/>
                <w:szCs w:val="28"/>
                <w:u w:val="none"/>
                <w:lang w:val="en-US" w:eastAsia="zh-CN" w:bidi="ar"/>
              </w:rPr>
            </w:pPr>
            <w:r>
              <w:rPr>
                <w:rFonts w:hint="eastAsia" w:hAnsi="宋体" w:cs="仿宋_GB2312"/>
                <w:i w:val="0"/>
                <w:iCs w:val="0"/>
                <w:color w:val="000000"/>
                <w:kern w:val="0"/>
                <w:sz w:val="28"/>
                <w:szCs w:val="28"/>
                <w:u w:val="none"/>
                <w:lang w:val="en-US" w:eastAsia="zh-CN" w:bidi="ar"/>
              </w:rPr>
              <w:t>/</w:t>
            </w:r>
          </w:p>
        </w:tc>
        <w:tc>
          <w:tcPr>
            <w:tcW w:w="673" w:type="pct"/>
            <w:vMerge w:val="continue"/>
            <w:tcBorders>
              <w:tl2br w:val="nil"/>
              <w:tr2bl w:val="nil"/>
            </w:tcBorders>
            <w:shd w:val="clear" w:color="auto" w:fill="auto"/>
            <w:vAlign w:val="center"/>
          </w:tcPr>
          <w:p w14:paraId="6A12B4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top"/>
              <w:rPr>
                <w:rFonts w:hint="eastAsia" w:ascii="仿宋_GB2312" w:hAnsi="宋体" w:eastAsia="仿宋_GB2312" w:cs="仿宋_GB2312"/>
                <w:i w:val="0"/>
                <w:iCs w:val="0"/>
                <w:color w:val="000000"/>
                <w:kern w:val="0"/>
                <w:sz w:val="28"/>
                <w:szCs w:val="28"/>
                <w:u w:val="none"/>
                <w:lang w:val="en-US" w:eastAsia="zh-CN" w:bidi="ar"/>
              </w:rPr>
            </w:pPr>
          </w:p>
        </w:tc>
      </w:tr>
    </w:tbl>
    <w:p w14:paraId="7CBD91AD">
      <w:pPr>
        <w:pStyle w:val="11"/>
        <w:rPr>
          <w:rFonts w:hint="eastAsia"/>
          <w:lang w:val="en-US" w:eastAsia="zh-CN"/>
        </w:rPr>
      </w:pPr>
    </w:p>
    <w:p w14:paraId="6991C0A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数据库服务器配置及数量描述</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828"/>
        <w:gridCol w:w="4552"/>
        <w:gridCol w:w="910"/>
        <w:gridCol w:w="679"/>
        <w:gridCol w:w="1270"/>
        <w:gridCol w:w="720"/>
      </w:tblGrid>
      <w:tr w14:paraId="4054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54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2540" w:type="pct"/>
            <w:tcBorders>
              <w:top w:val="single" w:color="000000" w:sz="4" w:space="0"/>
              <w:left w:val="single" w:color="000000" w:sz="4" w:space="0"/>
              <w:right w:val="single" w:color="000000" w:sz="4" w:space="0"/>
            </w:tcBorders>
            <w:shd w:val="clear" w:color="auto" w:fill="auto"/>
            <w:noWrap/>
            <w:vAlign w:val="center"/>
          </w:tcPr>
          <w:p w14:paraId="19C5E5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配置</w:t>
            </w:r>
          </w:p>
        </w:tc>
        <w:tc>
          <w:tcPr>
            <w:tcW w:w="507" w:type="pct"/>
            <w:tcBorders>
              <w:top w:val="single" w:color="000000" w:sz="4" w:space="0"/>
              <w:left w:val="single" w:color="000000" w:sz="4" w:space="0"/>
              <w:right w:val="single" w:color="000000" w:sz="4" w:space="0"/>
            </w:tcBorders>
            <w:shd w:val="clear" w:color="auto" w:fill="auto"/>
            <w:vAlign w:val="center"/>
          </w:tcPr>
          <w:p w14:paraId="4D3B06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83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存储</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B3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部署环境</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E4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备注</w:t>
            </w:r>
          </w:p>
        </w:tc>
      </w:tr>
      <w:tr w14:paraId="45D7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4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F3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D1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当前配置12颗64位Intel至强E7-8880v3 18核处理器，处理器主频为2.3Ghz，当前配置216核，最大可以扩展到288核；配置1.5TB内存</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E7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9C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0.7TB</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D2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人社厅数据中心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75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14:paraId="642485CD">
      <w:pPr>
        <w:ind w:left="0" w:leftChars="0" w:firstLine="0" w:firstLineChars="0"/>
        <w:rPr>
          <w:rFonts w:hint="eastAsia" w:ascii="仿宋_GB2312" w:hAnsi="仿宋_GB2312" w:eastAsia="仿宋_GB2312" w:cs="仿宋_GB2312"/>
          <w:sz w:val="32"/>
          <w:szCs w:val="32"/>
          <w:lang w:val="en-US" w:eastAsia="zh-CN"/>
        </w:rPr>
      </w:pPr>
    </w:p>
    <w:p w14:paraId="7C4C32C6">
      <w:pPr>
        <w:pStyle w:val="8"/>
        <w:numPr>
          <w:ilvl w:val="-1"/>
          <w:numId w:val="0"/>
          <w:ins w:id="11" w:author="ysgz" w:date=""/>
        </w:numPr>
        <w:bidi w:val="0"/>
        <w:ind w:left="0" w:leftChars="0" w:firstLine="643" w:firstLineChars="200"/>
        <w:rPr>
          <w:rFonts w:hint="eastAsia"/>
          <w:lang w:val="en-US" w:eastAsia="zh-CN"/>
        </w:rPr>
      </w:pPr>
      <w:r>
        <w:rPr>
          <w:rFonts w:hint="eastAsia"/>
          <w:lang w:val="en-US" w:eastAsia="zh-CN"/>
        </w:rPr>
        <w:t>b.资源需求</w:t>
      </w:r>
    </w:p>
    <w:p w14:paraId="0CE478E1">
      <w:pPr>
        <w:spacing w:line="560" w:lineRule="exact"/>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根据人社部《人力资源社会保障行业应用信创建设指南》（人社网信函〔2024〕4号）中选型的指导建议，“对于复杂场景下的交易型业务</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数据规模在1亿以上、高并发的业务，推荐选择分布式数据库，</w:t>
      </w:r>
      <w:r>
        <w:rPr>
          <w:rFonts w:hint="eastAsia" w:cs="仿宋_GB2312"/>
          <w:b w:val="0"/>
          <w:bCs w:val="0"/>
          <w:sz w:val="32"/>
          <w:szCs w:val="32"/>
          <w:lang w:val="en-US" w:eastAsia="zh-CN"/>
        </w:rPr>
        <w:t>例如</w:t>
      </w:r>
      <w:r>
        <w:rPr>
          <w:rFonts w:hint="eastAsia" w:ascii="仿宋_GB2312" w:hAnsi="仿宋_GB2312" w:eastAsia="仿宋_GB2312" w:cs="仿宋_GB2312"/>
          <w:b w:val="0"/>
          <w:bCs w:val="0"/>
          <w:sz w:val="32"/>
          <w:szCs w:val="32"/>
        </w:rPr>
        <w:t>社保、就业等覆盖全省</w:t>
      </w:r>
      <w:r>
        <w:rPr>
          <w:rFonts w:hint="eastAsia" w:cs="仿宋_GB2312"/>
          <w:b w:val="0"/>
          <w:bCs w:val="0"/>
          <w:sz w:val="32"/>
          <w:szCs w:val="32"/>
          <w:lang w:val="en-US" w:eastAsia="zh-CN"/>
        </w:rPr>
        <w:t>人口</w:t>
      </w:r>
      <w:r>
        <w:rPr>
          <w:rFonts w:hint="eastAsia" w:ascii="仿宋_GB2312" w:hAnsi="仿宋_GB2312" w:eastAsia="仿宋_GB2312" w:cs="仿宋_GB2312"/>
          <w:b w:val="0"/>
          <w:bCs w:val="0"/>
          <w:sz w:val="32"/>
          <w:szCs w:val="32"/>
        </w:rPr>
        <w:t>的业务”</w:t>
      </w:r>
      <w:r>
        <w:rPr>
          <w:rFonts w:hint="eastAsia" w:cs="仿宋_GB2312"/>
          <w:b w:val="0"/>
          <w:bCs w:val="0"/>
          <w:sz w:val="32"/>
          <w:szCs w:val="32"/>
          <w:lang w:eastAsia="zh-CN"/>
        </w:rPr>
        <w:t>、“</w:t>
      </w:r>
      <w:r>
        <w:rPr>
          <w:rFonts w:hint="eastAsia" w:cs="仿宋_GB2312"/>
          <w:b w:val="0"/>
          <w:bCs w:val="0"/>
          <w:sz w:val="32"/>
          <w:szCs w:val="32"/>
          <w:lang w:val="en-US" w:eastAsia="zh-CN"/>
        </w:rPr>
        <w:t>中间件：在产品选择方面不仅要考虑业务系统的兼容适配问题，还要考虑产品的安全性，需选择国产正版中间件产品</w:t>
      </w:r>
      <w:r>
        <w:rPr>
          <w:rFonts w:hint="eastAsia" w:cs="仿宋_GB2312"/>
          <w:b w:val="0"/>
          <w:bCs w:val="0"/>
          <w:sz w:val="32"/>
          <w:szCs w:val="32"/>
          <w:lang w:eastAsia="zh-CN"/>
        </w:rPr>
        <w:t>”、“</w:t>
      </w:r>
      <w:r>
        <w:rPr>
          <w:rFonts w:hint="eastAsia" w:cs="仿宋_GB2312"/>
          <w:b w:val="0"/>
          <w:bCs w:val="0"/>
          <w:sz w:val="32"/>
          <w:szCs w:val="32"/>
          <w:lang w:val="en-US" w:eastAsia="zh-CN"/>
        </w:rPr>
        <w:t>云资源：云平台应兼容国产化和非国产化产品，可以实现‘一云多芯’……需确保应用数据在迁移到云平台后的完整可用</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因此对数据库、中间件、云资源等需求如下：</w:t>
      </w:r>
    </w:p>
    <w:p w14:paraId="796B6305">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数据库选型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针对本次改造，建议选择国产分布式数据库进行支撑，目前市场主流的分布式数据库包括OceanBase、GaussDB、达梦等，具体可根据情况而定。</w:t>
      </w:r>
    </w:p>
    <w:p w14:paraId="69C38F0E">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中间件选型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中间件需要能够满足对国产CPU、国产操作系统的兼容，因此，建议选择目前市场比较主流的国产中间件。可选择金蝶、东方通等国产中间件。</w:t>
      </w:r>
    </w:p>
    <w:p w14:paraId="2964313A">
      <w:pPr>
        <w:spacing w:line="560" w:lineRule="exact"/>
        <w:ind w:left="0"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云资源需求：</w:t>
      </w:r>
      <w:r>
        <w:rPr>
          <w:rFonts w:hint="eastAsia" w:ascii="仿宋_GB2312" w:hAnsi="仿宋_GB2312" w:eastAsia="仿宋_GB2312" w:cs="仿宋_GB2312"/>
          <w:sz w:val="32"/>
          <w:szCs w:val="32"/>
        </w:rPr>
        <w:t>根据系统目前现状和支撑资源，云资源需求主要包括数据库支撑和应用支撑两部分。其中，数据库支撑包括OLTP数据库和OLAP数据库，由于数据库业务对IO响应、稳定性等要求较高，建议采用裸金属物理机进行支撑。建议单台配置不低于128核心，1TB内存，根据所选DBMS的不同，采用不同的高可靠方式。对于应用支撑，则可直接由云虚拟机或容器进行支撑。</w:t>
      </w:r>
    </w:p>
    <w:p w14:paraId="55F52CA9">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初步需求清单如下：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3686"/>
        <w:gridCol w:w="850"/>
        <w:gridCol w:w="1469"/>
      </w:tblGrid>
      <w:tr w14:paraId="7358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CEF1B5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4" w:type="dxa"/>
            <w:vAlign w:val="center"/>
          </w:tcPr>
          <w:p w14:paraId="405E6D3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资源名称</w:t>
            </w:r>
          </w:p>
        </w:tc>
        <w:tc>
          <w:tcPr>
            <w:tcW w:w="3686" w:type="dxa"/>
            <w:vAlign w:val="center"/>
          </w:tcPr>
          <w:p w14:paraId="0CE67F6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概略配置</w:t>
            </w:r>
          </w:p>
        </w:tc>
        <w:tc>
          <w:tcPr>
            <w:tcW w:w="850" w:type="dxa"/>
            <w:vAlign w:val="center"/>
          </w:tcPr>
          <w:p w14:paraId="7BC33B3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469" w:type="dxa"/>
            <w:vAlign w:val="center"/>
          </w:tcPr>
          <w:p w14:paraId="35D6C1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0093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8A151CB">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14:paraId="735C231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生产库</w:t>
            </w:r>
          </w:p>
        </w:tc>
        <w:tc>
          <w:tcPr>
            <w:tcW w:w="3686" w:type="dxa"/>
            <w:vAlign w:val="center"/>
          </w:tcPr>
          <w:p w14:paraId="08B176B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2F2795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14:paraId="1C5626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78AFAFA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14:paraId="41461E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6EBFA58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p>
        </w:tc>
        <w:tc>
          <w:tcPr>
            <w:tcW w:w="1469" w:type="dxa"/>
            <w:vAlign w:val="center"/>
          </w:tcPr>
          <w:p w14:paraId="50DFCE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14:paraId="073B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B711A21">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14:paraId="03639D6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数据库管理节点</w:t>
            </w:r>
          </w:p>
        </w:tc>
        <w:tc>
          <w:tcPr>
            <w:tcW w:w="3686" w:type="dxa"/>
            <w:vAlign w:val="center"/>
          </w:tcPr>
          <w:p w14:paraId="17A77C8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2FDF0F2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512GB</w:t>
            </w:r>
            <w:r>
              <w:rPr>
                <w:rFonts w:hint="eastAsia" w:ascii="仿宋_GB2312" w:hAnsi="仿宋_GB2312" w:eastAsia="仿宋_GB2312" w:cs="仿宋_GB2312"/>
                <w:sz w:val="28"/>
                <w:szCs w:val="28"/>
              </w:rPr>
              <w:t>内存</w:t>
            </w:r>
          </w:p>
          <w:p w14:paraId="5AD1222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41D78B8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3.84TB SSD</w:t>
            </w:r>
          </w:p>
          <w:p w14:paraId="563D77F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465B2FE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Align w:val="center"/>
          </w:tcPr>
          <w:p w14:paraId="5A87C8B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集群管理</w:t>
            </w:r>
          </w:p>
        </w:tc>
      </w:tr>
      <w:tr w14:paraId="1822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1A35F89">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14:paraId="5D969E4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应用虚拟机1</w:t>
            </w:r>
          </w:p>
        </w:tc>
        <w:tc>
          <w:tcPr>
            <w:tcW w:w="3686" w:type="dxa"/>
            <w:vAlign w:val="center"/>
          </w:tcPr>
          <w:p w14:paraId="7DE7856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625917D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14:paraId="03403DE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7788B65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 xml:space="preserve">00GB </w:t>
            </w:r>
            <w:r>
              <w:rPr>
                <w:rFonts w:hint="eastAsia" w:ascii="仿宋_GB2312" w:hAnsi="仿宋_GB2312" w:eastAsia="仿宋_GB2312" w:cs="仿宋_GB2312"/>
                <w:sz w:val="28"/>
                <w:szCs w:val="28"/>
              </w:rPr>
              <w:t>数据盘</w:t>
            </w:r>
          </w:p>
        </w:tc>
        <w:tc>
          <w:tcPr>
            <w:tcW w:w="850" w:type="dxa"/>
            <w:vAlign w:val="center"/>
          </w:tcPr>
          <w:p w14:paraId="7A35E45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w:t>
            </w:r>
          </w:p>
        </w:tc>
        <w:tc>
          <w:tcPr>
            <w:tcW w:w="1469" w:type="dxa"/>
            <w:vAlign w:val="center"/>
          </w:tcPr>
          <w:p w14:paraId="1FF5C2E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云虚拟机</w:t>
            </w:r>
          </w:p>
          <w:p w14:paraId="4AF9E9D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业务支撑</w:t>
            </w:r>
          </w:p>
        </w:tc>
      </w:tr>
      <w:tr w14:paraId="44BC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F4425CB">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14:paraId="300A83D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备份资源</w:t>
            </w:r>
          </w:p>
        </w:tc>
        <w:tc>
          <w:tcPr>
            <w:tcW w:w="3686" w:type="dxa"/>
            <w:vAlign w:val="center"/>
          </w:tcPr>
          <w:p w14:paraId="4C1BAD2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支持对国产数据库进行备份</w:t>
            </w:r>
          </w:p>
          <w:p w14:paraId="4463462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支持备份结构化数据和非结构化数据</w:t>
            </w:r>
          </w:p>
          <w:p w14:paraId="7FAB937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支持通过删重或压缩来节省空间</w:t>
            </w:r>
          </w:p>
          <w:p w14:paraId="0FF782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可用容量≥6</w:t>
            </w:r>
            <w:r>
              <w:rPr>
                <w:rFonts w:ascii="仿宋_GB2312" w:hAnsi="仿宋_GB2312" w:eastAsia="仿宋_GB2312" w:cs="仿宋_GB2312"/>
                <w:sz w:val="28"/>
                <w:szCs w:val="28"/>
              </w:rPr>
              <w:t>00TB</w:t>
            </w:r>
            <w:r>
              <w:rPr>
                <w:rFonts w:hint="eastAsia" w:ascii="仿宋_GB2312" w:hAnsi="仿宋_GB2312" w:eastAsia="仿宋_GB2312" w:cs="仿宋_GB2312"/>
                <w:sz w:val="28"/>
                <w:szCs w:val="28"/>
              </w:rPr>
              <w:t>，并支持在线扩容</w:t>
            </w:r>
          </w:p>
        </w:tc>
        <w:tc>
          <w:tcPr>
            <w:tcW w:w="850" w:type="dxa"/>
            <w:vAlign w:val="center"/>
          </w:tcPr>
          <w:p w14:paraId="720E09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restart"/>
            <w:vAlign w:val="center"/>
          </w:tcPr>
          <w:p w14:paraId="70A444E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政务云统一提供</w:t>
            </w:r>
          </w:p>
        </w:tc>
      </w:tr>
      <w:tr w14:paraId="6C06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8A4C217">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14:paraId="5FA4FA1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安全和密码资源</w:t>
            </w:r>
          </w:p>
        </w:tc>
        <w:tc>
          <w:tcPr>
            <w:tcW w:w="3686" w:type="dxa"/>
            <w:vAlign w:val="center"/>
          </w:tcPr>
          <w:p w14:paraId="665611F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提供符合等级保护三级标准的安全防护资源。</w:t>
            </w:r>
          </w:p>
          <w:p w14:paraId="4754A55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提供符合密码防护要求三级标准的密码防护资源</w:t>
            </w:r>
          </w:p>
        </w:tc>
        <w:tc>
          <w:tcPr>
            <w:tcW w:w="850" w:type="dxa"/>
            <w:vAlign w:val="center"/>
          </w:tcPr>
          <w:p w14:paraId="468B0AA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733FF20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14:paraId="3CF8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A518FAB">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14:paraId="42581C7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网络资源</w:t>
            </w:r>
          </w:p>
        </w:tc>
        <w:tc>
          <w:tcPr>
            <w:tcW w:w="3686" w:type="dxa"/>
            <w:vAlign w:val="center"/>
          </w:tcPr>
          <w:p w14:paraId="3C61813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500M</w:t>
            </w:r>
            <w:r>
              <w:rPr>
                <w:rFonts w:hint="eastAsia" w:ascii="仿宋_GB2312" w:hAnsi="仿宋_GB2312" w:eastAsia="仿宋_GB2312" w:cs="仿宋_GB2312"/>
                <w:sz w:val="28"/>
                <w:szCs w:val="28"/>
              </w:rPr>
              <w:t>互联网</w:t>
            </w:r>
            <w:r>
              <w:rPr>
                <w:rFonts w:hint="eastAsia" w:ascii="仿宋_GB2312" w:hAnsi="仿宋_GB2312" w:eastAsia="仿宋_GB2312" w:cs="仿宋_GB2312"/>
                <w:sz w:val="28"/>
                <w:szCs w:val="28"/>
                <w:lang w:val="en-US" w:eastAsia="zh-CN"/>
              </w:rPr>
              <w:t>网络资源</w:t>
            </w:r>
          </w:p>
          <w:p w14:paraId="651A162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金保网交互网络资源</w:t>
            </w:r>
          </w:p>
          <w:p w14:paraId="734A38C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内网</w:t>
            </w:r>
            <w:r>
              <w:rPr>
                <w:rFonts w:hint="eastAsia" w:ascii="仿宋_GB2312" w:hAnsi="仿宋_GB2312" w:eastAsia="仿宋_GB2312" w:cs="仿宋_GB2312"/>
                <w:sz w:val="28"/>
                <w:szCs w:val="28"/>
              </w:rPr>
              <w:t>速率不低于1</w:t>
            </w:r>
            <w:r>
              <w:rPr>
                <w:rFonts w:ascii="仿宋_GB2312" w:hAnsi="仿宋_GB2312" w:eastAsia="仿宋_GB2312" w:cs="仿宋_GB2312"/>
                <w:sz w:val="28"/>
                <w:szCs w:val="28"/>
              </w:rPr>
              <w:t>0GE</w:t>
            </w:r>
          </w:p>
        </w:tc>
        <w:tc>
          <w:tcPr>
            <w:tcW w:w="850" w:type="dxa"/>
            <w:vAlign w:val="center"/>
          </w:tcPr>
          <w:p w14:paraId="1BB422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4F6FF58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14:paraId="0EDC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C7DBF65">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14:paraId="61FE80D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安全防护</w:t>
            </w:r>
          </w:p>
        </w:tc>
        <w:tc>
          <w:tcPr>
            <w:tcW w:w="3686" w:type="dxa"/>
            <w:vAlign w:val="center"/>
          </w:tcPr>
          <w:p w14:paraId="677C1C9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提供内外网防护，安全检测，态势感知等</w:t>
            </w:r>
          </w:p>
        </w:tc>
        <w:tc>
          <w:tcPr>
            <w:tcW w:w="850" w:type="dxa"/>
            <w:vAlign w:val="center"/>
          </w:tcPr>
          <w:p w14:paraId="731CB7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469" w:type="dxa"/>
            <w:vMerge w:val="continue"/>
            <w:vAlign w:val="center"/>
          </w:tcPr>
          <w:p w14:paraId="76E8DA3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14:paraId="37F8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85092F2">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firstLine="0" w:firstLineChars="0"/>
              <w:jc w:val="both"/>
              <w:textAlignment w:val="auto"/>
              <w:rPr>
                <w:rFonts w:ascii="仿宋_GB2312" w:hAnsi="仿宋_GB2312" w:eastAsia="仿宋_GB2312" w:cs="仿宋_GB2312"/>
                <w:kern w:val="2"/>
                <w:sz w:val="28"/>
                <w:szCs w:val="28"/>
                <w:lang w:val="en-US" w:eastAsia="zh-CN" w:bidi="ar-SA"/>
              </w:rPr>
            </w:pPr>
          </w:p>
        </w:tc>
        <w:tc>
          <w:tcPr>
            <w:tcW w:w="1984" w:type="dxa"/>
            <w:vAlign w:val="center"/>
          </w:tcPr>
          <w:p w14:paraId="7C76827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系统软件</w:t>
            </w:r>
          </w:p>
        </w:tc>
        <w:tc>
          <w:tcPr>
            <w:tcW w:w="3686" w:type="dxa"/>
            <w:vAlign w:val="center"/>
          </w:tcPr>
          <w:p w14:paraId="633F65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国产分布式数据库</w:t>
            </w:r>
          </w:p>
          <w:p w14:paraId="5559392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国产操作系统</w:t>
            </w:r>
          </w:p>
          <w:p w14:paraId="0D0CC0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国产中间件</w:t>
            </w:r>
          </w:p>
          <w:p w14:paraId="1D246A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国产数据同步工具</w:t>
            </w:r>
          </w:p>
        </w:tc>
        <w:tc>
          <w:tcPr>
            <w:tcW w:w="850" w:type="dxa"/>
            <w:vAlign w:val="center"/>
          </w:tcPr>
          <w:p w14:paraId="037FB11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1643413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bl>
    <w:p w14:paraId="758498DF">
      <w:pPr>
        <w:pStyle w:val="8"/>
        <w:numPr>
          <w:ilvl w:val="-1"/>
          <w:numId w:val="0"/>
          <w:ins w:id="12" w:author="ysgz" w:date=""/>
        </w:numPr>
        <w:bidi w:val="0"/>
        <w:ind w:left="0" w:leftChars="0" w:firstLine="643" w:firstLineChars="200"/>
        <w:rPr>
          <w:rFonts w:hint="default"/>
          <w:lang w:val="en-US" w:eastAsia="zh-CN"/>
        </w:rPr>
      </w:pPr>
      <w:r>
        <w:rPr>
          <w:rFonts w:hint="eastAsia"/>
          <w:lang w:val="en-US" w:eastAsia="zh-CN"/>
        </w:rPr>
        <w:t>c.国产化适配软件改造内容</w:t>
      </w:r>
    </w:p>
    <w:p w14:paraId="7C6BDE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trike w:val="0"/>
          <w:dstrike w:val="0"/>
          <w:color w:val="auto"/>
          <w:sz w:val="32"/>
          <w:szCs w:val="32"/>
          <w:lang w:val="en-US" w:eastAsia="zh-CN"/>
        </w:rPr>
      </w:pPr>
      <w:r>
        <w:rPr>
          <w:rFonts w:hint="default" w:ascii="仿宋_GB2312" w:hAnsi="仿宋_GB2312" w:eastAsia="仿宋_GB2312" w:cs="仿宋_GB2312"/>
          <w:strike w:val="0"/>
          <w:dstrike w:val="0"/>
          <w:color w:val="auto"/>
          <w:sz w:val="32"/>
          <w:szCs w:val="32"/>
          <w:lang w:val="en-US" w:eastAsia="zh-CN"/>
        </w:rPr>
        <w:t>涉及的系统包括企业保网厅</w:t>
      </w:r>
      <w:r>
        <w:rPr>
          <w:rFonts w:hint="eastAsia" w:ascii="仿宋_GB2312" w:hAnsi="仿宋_GB2312" w:eastAsia="仿宋_GB2312" w:cs="仿宋_GB2312"/>
          <w:strike w:val="0"/>
          <w:dstrike w:val="0"/>
          <w:color w:val="auto"/>
          <w:sz w:val="32"/>
          <w:szCs w:val="32"/>
          <w:lang w:val="en-US" w:eastAsia="zh-CN"/>
        </w:rPr>
        <w:t>、</w:t>
      </w:r>
      <w:r>
        <w:rPr>
          <w:rFonts w:hint="default" w:ascii="仿宋_GB2312" w:hAnsi="仿宋_GB2312" w:eastAsia="仿宋_GB2312" w:cs="仿宋_GB2312"/>
          <w:strike w:val="0"/>
          <w:dstrike w:val="0"/>
          <w:color w:val="auto"/>
          <w:sz w:val="32"/>
          <w:szCs w:val="32"/>
          <w:lang w:val="en-US" w:eastAsia="zh-CN"/>
        </w:rPr>
        <w:t>机关保网厅</w:t>
      </w:r>
      <w:r>
        <w:rPr>
          <w:rFonts w:hint="eastAsia" w:ascii="仿宋_GB2312" w:hAnsi="仿宋_GB2312" w:eastAsia="仿宋_GB2312" w:cs="仿宋_GB2312"/>
          <w:strike w:val="0"/>
          <w:dstrike w:val="0"/>
          <w:color w:val="auto"/>
          <w:sz w:val="32"/>
          <w:szCs w:val="32"/>
          <w:lang w:val="en-US" w:eastAsia="zh-CN"/>
        </w:rPr>
        <w:t>和运维系统</w:t>
      </w:r>
      <w:r>
        <w:rPr>
          <w:rFonts w:hint="default" w:ascii="仿宋_GB2312" w:hAnsi="仿宋_GB2312" w:eastAsia="仿宋_GB2312" w:cs="仿宋_GB2312"/>
          <w:strike w:val="0"/>
          <w:dstrike w:val="0"/>
          <w:color w:val="auto"/>
          <w:sz w:val="32"/>
          <w:szCs w:val="32"/>
          <w:lang w:val="en-US" w:eastAsia="zh-CN"/>
        </w:rPr>
        <w:t>，其中</w:t>
      </w:r>
      <w:r>
        <w:rPr>
          <w:rFonts w:hint="eastAsia" w:cs="仿宋_GB2312"/>
          <w:strike w:val="0"/>
          <w:dstrike w:val="0"/>
          <w:color w:val="auto"/>
          <w:sz w:val="32"/>
          <w:szCs w:val="32"/>
          <w:lang w:val="en-US" w:eastAsia="zh-CN"/>
        </w:rPr>
        <w:t>，包</w:t>
      </w:r>
      <w:r>
        <w:rPr>
          <w:rFonts w:hint="default" w:ascii="仿宋_GB2312" w:hAnsi="仿宋_GB2312" w:eastAsia="仿宋_GB2312" w:cs="仿宋_GB2312"/>
          <w:strike w:val="0"/>
          <w:dstrike w:val="0"/>
          <w:color w:val="auto"/>
          <w:sz w:val="32"/>
          <w:szCs w:val="32"/>
          <w:lang w:val="en-US" w:eastAsia="zh-CN"/>
        </w:rPr>
        <w:t>括企业保网厅，约</w:t>
      </w:r>
      <w:r>
        <w:rPr>
          <w:rFonts w:hint="eastAsia" w:ascii="仿宋_GB2312" w:hAnsi="仿宋_GB2312" w:eastAsia="仿宋_GB2312" w:cs="仿宋_GB2312"/>
          <w:strike w:val="0"/>
          <w:dstrike w:val="0"/>
          <w:color w:val="auto"/>
          <w:sz w:val="32"/>
          <w:szCs w:val="32"/>
          <w:lang w:val="en-US" w:eastAsia="zh-CN"/>
        </w:rPr>
        <w:t>330</w:t>
      </w:r>
      <w:r>
        <w:rPr>
          <w:rFonts w:hint="default" w:ascii="仿宋_GB2312" w:hAnsi="仿宋_GB2312" w:eastAsia="仿宋_GB2312" w:cs="仿宋_GB2312"/>
          <w:strike w:val="0"/>
          <w:dstrike w:val="0"/>
          <w:color w:val="auto"/>
          <w:sz w:val="32"/>
          <w:szCs w:val="32"/>
          <w:lang w:val="en-US" w:eastAsia="zh-CN"/>
        </w:rPr>
        <w:t>余个功能点；电子会计档案系统，约</w:t>
      </w:r>
      <w:r>
        <w:rPr>
          <w:rFonts w:hint="eastAsia" w:ascii="仿宋_GB2312" w:hAnsi="仿宋_GB2312" w:eastAsia="仿宋_GB2312" w:cs="仿宋_GB2312"/>
          <w:strike w:val="0"/>
          <w:dstrike w:val="0"/>
          <w:color w:val="auto"/>
          <w:sz w:val="32"/>
          <w:szCs w:val="32"/>
          <w:lang w:val="en-US" w:eastAsia="zh-CN"/>
        </w:rPr>
        <w:t>22</w:t>
      </w:r>
      <w:r>
        <w:rPr>
          <w:rFonts w:hint="default" w:ascii="仿宋_GB2312" w:hAnsi="仿宋_GB2312" w:eastAsia="仿宋_GB2312" w:cs="仿宋_GB2312"/>
          <w:strike w:val="0"/>
          <w:dstrike w:val="0"/>
          <w:color w:val="auto"/>
          <w:sz w:val="32"/>
          <w:szCs w:val="32"/>
          <w:lang w:val="en-US" w:eastAsia="zh-CN"/>
        </w:rPr>
        <w:t>0余个功能点</w:t>
      </w:r>
      <w:r>
        <w:rPr>
          <w:rFonts w:hint="eastAsia" w:ascii="仿宋_GB2312" w:hAnsi="仿宋_GB2312" w:eastAsia="仿宋_GB2312" w:cs="仿宋_GB2312"/>
          <w:strike w:val="0"/>
          <w:dstrike w:val="0"/>
          <w:color w:val="auto"/>
          <w:sz w:val="32"/>
          <w:szCs w:val="32"/>
          <w:lang w:val="en-US" w:eastAsia="zh-CN"/>
        </w:rPr>
        <w:t>；运维系统，约70余个功能点。</w:t>
      </w:r>
    </w:p>
    <w:p w14:paraId="72286E33">
      <w:pPr>
        <w:pStyle w:val="7"/>
        <w:numPr>
          <w:ilvl w:val="-1"/>
          <w:numId w:val="0"/>
        </w:numPr>
        <w:bidi w:val="0"/>
        <w:ind w:firstLine="643" w:firstLineChars="200"/>
        <w:rPr>
          <w:rFonts w:hint="eastAsia" w:cs="仿宋_GB2312"/>
          <w:color w:val="auto"/>
          <w:szCs w:val="32"/>
          <w:lang w:val="en-US" w:eastAsia="zh-CN"/>
        </w:rPr>
      </w:pPr>
      <w:r>
        <w:rPr>
          <w:rFonts w:hint="eastAsia" w:cs="仿宋_GB2312"/>
          <w:color w:val="auto"/>
          <w:szCs w:val="32"/>
          <w:lang w:val="en-US" w:eastAsia="zh-CN"/>
        </w:rPr>
        <w:t>（4）贵州省社保基金财务管理系统</w:t>
      </w:r>
    </w:p>
    <w:p w14:paraId="784436BE">
      <w:pPr>
        <w:pStyle w:val="8"/>
        <w:numPr>
          <w:ilvl w:val="-1"/>
          <w:numId w:val="0"/>
          <w:ins w:id="13" w:author="ysgz" w:date=""/>
        </w:numPr>
        <w:bidi w:val="0"/>
        <w:ind w:left="0" w:leftChars="0" w:firstLine="643" w:firstLineChars="200"/>
        <w:rPr>
          <w:rFonts w:hint="eastAsia"/>
          <w:lang w:val="en-US" w:eastAsia="zh-CN"/>
        </w:rPr>
      </w:pPr>
      <w:r>
        <w:rPr>
          <w:rFonts w:hint="eastAsia"/>
          <w:lang w:val="en-US" w:eastAsia="zh-CN"/>
        </w:rPr>
        <w:t>a.系统现状</w:t>
      </w:r>
    </w:p>
    <w:p w14:paraId="05AC3CF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应用服务器配置及数量描述</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120"/>
        <w:gridCol w:w="2664"/>
        <w:gridCol w:w="1131"/>
        <w:gridCol w:w="1131"/>
        <w:gridCol w:w="1811"/>
      </w:tblGrid>
      <w:tr w14:paraId="3371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14:paraId="06418A9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18" w:type="pct"/>
          </w:tcPr>
          <w:p w14:paraId="2D19F47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数量（台）</w:t>
            </w:r>
          </w:p>
        </w:tc>
        <w:tc>
          <w:tcPr>
            <w:tcW w:w="1470" w:type="pct"/>
          </w:tcPr>
          <w:p w14:paraId="72D00F3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w:t>
            </w:r>
          </w:p>
        </w:tc>
        <w:tc>
          <w:tcPr>
            <w:tcW w:w="624" w:type="pct"/>
          </w:tcPr>
          <w:p w14:paraId="6FDBB26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cs="仿宋_GB2312"/>
                <w:sz w:val="28"/>
                <w:szCs w:val="28"/>
                <w:lang w:val="en-US" w:eastAsia="zh-CN"/>
              </w:rPr>
              <w:t>部署区域</w:t>
            </w:r>
          </w:p>
        </w:tc>
        <w:tc>
          <w:tcPr>
            <w:tcW w:w="624" w:type="pct"/>
          </w:tcPr>
          <w:p w14:paraId="3FEB2B4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cs="仿宋_GB2312"/>
                <w:sz w:val="28"/>
                <w:szCs w:val="28"/>
                <w:lang w:val="en-US" w:eastAsia="zh-CN"/>
              </w:rPr>
              <w:t>运行</w:t>
            </w:r>
            <w:r>
              <w:rPr>
                <w:rFonts w:hint="eastAsia" w:ascii="仿宋_GB2312" w:hAnsi="仿宋_GB2312" w:eastAsia="仿宋_GB2312" w:cs="仿宋_GB2312"/>
                <w:sz w:val="28"/>
                <w:szCs w:val="28"/>
              </w:rPr>
              <w:t>网络</w:t>
            </w:r>
          </w:p>
        </w:tc>
        <w:tc>
          <w:tcPr>
            <w:tcW w:w="999" w:type="pct"/>
          </w:tcPr>
          <w:p w14:paraId="201A74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3F9E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14:paraId="3C73E3A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18" w:type="pct"/>
          </w:tcPr>
          <w:p w14:paraId="31438BF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pct"/>
          </w:tcPr>
          <w:p w14:paraId="7D0DF7D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CPU:64核；内存：64 GB；磁盘：500 GB；存储：500 GB</w:t>
            </w:r>
          </w:p>
        </w:tc>
        <w:tc>
          <w:tcPr>
            <w:tcW w:w="624" w:type="pct"/>
            <w:vMerge w:val="restart"/>
          </w:tcPr>
          <w:p w14:paraId="2112C4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云上贵州机房计算资源池</w:t>
            </w:r>
          </w:p>
        </w:tc>
        <w:tc>
          <w:tcPr>
            <w:tcW w:w="624" w:type="pct"/>
            <w:vMerge w:val="restart"/>
          </w:tcPr>
          <w:p w14:paraId="7E10E48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金保网</w:t>
            </w:r>
          </w:p>
          <w:p w14:paraId="683E6C1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vMerge w:val="restart"/>
          </w:tcPr>
          <w:p w14:paraId="40FFE0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社保基金财务管理信息系统</w:t>
            </w:r>
          </w:p>
        </w:tc>
      </w:tr>
      <w:tr w14:paraId="66BC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14:paraId="682FADB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18" w:type="pct"/>
          </w:tcPr>
          <w:p w14:paraId="1BF38E3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70" w:type="pct"/>
          </w:tcPr>
          <w:p w14:paraId="27C79D8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CPU:32核；内存：64 GB；磁盘：500 GB；存储：500 GB</w:t>
            </w:r>
          </w:p>
        </w:tc>
        <w:tc>
          <w:tcPr>
            <w:tcW w:w="624" w:type="pct"/>
            <w:vMerge w:val="continue"/>
          </w:tcPr>
          <w:p w14:paraId="4532C75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624" w:type="pct"/>
            <w:vMerge w:val="continue"/>
          </w:tcPr>
          <w:p w14:paraId="53596B3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vMerge w:val="continue"/>
          </w:tcPr>
          <w:p w14:paraId="5B3F432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14:paraId="1AAF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14:paraId="3C0BCDB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18" w:type="pct"/>
          </w:tcPr>
          <w:p w14:paraId="665231E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70" w:type="pct"/>
          </w:tcPr>
          <w:p w14:paraId="01123D2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CPU:8核； 内存：32 GB；磁盘：500 GB；存储：500 GB</w:t>
            </w:r>
          </w:p>
        </w:tc>
        <w:tc>
          <w:tcPr>
            <w:tcW w:w="624" w:type="pct"/>
            <w:vMerge w:val="continue"/>
          </w:tcPr>
          <w:p w14:paraId="19B2E3C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624" w:type="pct"/>
            <w:vMerge w:val="continue"/>
          </w:tcPr>
          <w:p w14:paraId="49766C8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vMerge w:val="continue"/>
          </w:tcPr>
          <w:p w14:paraId="04C2757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14:paraId="57D1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14:paraId="405B1C8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18" w:type="pct"/>
          </w:tcPr>
          <w:p w14:paraId="71CDF18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pct"/>
          </w:tcPr>
          <w:p w14:paraId="0FF3B91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CPU:16核；内存：32 GB；磁盘：300 GB；存储：300 GB</w:t>
            </w:r>
          </w:p>
        </w:tc>
        <w:tc>
          <w:tcPr>
            <w:tcW w:w="624" w:type="pct"/>
            <w:vMerge w:val="continue"/>
          </w:tcPr>
          <w:p w14:paraId="0045A4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624" w:type="pct"/>
            <w:vMerge w:val="continue"/>
          </w:tcPr>
          <w:p w14:paraId="22FF2EC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tcPr>
          <w:p w14:paraId="63113E6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电子会计档案系统</w:t>
            </w:r>
          </w:p>
        </w:tc>
      </w:tr>
      <w:tr w14:paraId="5EBB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14:paraId="64CE20A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18" w:type="pct"/>
          </w:tcPr>
          <w:p w14:paraId="044DE34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pct"/>
          </w:tcPr>
          <w:p w14:paraId="3BE3F18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CPU:4核； 内存：8 GB； 磁盘：500 GB；存储：500 GB</w:t>
            </w:r>
          </w:p>
        </w:tc>
        <w:tc>
          <w:tcPr>
            <w:tcW w:w="624" w:type="pct"/>
            <w:vMerge w:val="continue"/>
          </w:tcPr>
          <w:p w14:paraId="409A310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624" w:type="pct"/>
            <w:vMerge w:val="continue"/>
          </w:tcPr>
          <w:p w14:paraId="3F0F828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999" w:type="pct"/>
          </w:tcPr>
          <w:p w14:paraId="2C57B9A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minio对象存储（生产）</w:t>
            </w:r>
          </w:p>
        </w:tc>
      </w:tr>
    </w:tbl>
    <w:p w14:paraId="44FF70A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数据库服务器配置及数量描述</w:t>
      </w:r>
    </w:p>
    <w:tbl>
      <w:tblPr>
        <w:tblStyle w:val="15"/>
        <w:tblW w:w="4997" w:type="pct"/>
        <w:tblInd w:w="0" w:type="dxa"/>
        <w:tblLayout w:type="fixed"/>
        <w:tblCellMar>
          <w:top w:w="0" w:type="dxa"/>
          <w:left w:w="57" w:type="dxa"/>
          <w:bottom w:w="0" w:type="dxa"/>
          <w:right w:w="57" w:type="dxa"/>
        </w:tblCellMar>
      </w:tblPr>
      <w:tblGrid>
        <w:gridCol w:w="673"/>
        <w:gridCol w:w="703"/>
        <w:gridCol w:w="1081"/>
        <w:gridCol w:w="1538"/>
        <w:gridCol w:w="2538"/>
        <w:gridCol w:w="1283"/>
        <w:gridCol w:w="1138"/>
      </w:tblGrid>
      <w:tr w14:paraId="49741F48">
        <w:tblPrEx>
          <w:tblCellMar>
            <w:top w:w="0" w:type="dxa"/>
            <w:left w:w="57" w:type="dxa"/>
            <w:bottom w:w="0" w:type="dxa"/>
            <w:right w:w="57" w:type="dxa"/>
          </w:tblCellMar>
        </w:tblPrEx>
        <w:trPr>
          <w:trHeight w:val="62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04B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392" w:type="pct"/>
            <w:tcBorders>
              <w:top w:val="single" w:color="000000" w:sz="4" w:space="0"/>
              <w:left w:val="single" w:color="000000" w:sz="4" w:space="0"/>
              <w:right w:val="single" w:color="000000" w:sz="4" w:space="0"/>
            </w:tcBorders>
            <w:shd w:val="clear" w:color="auto" w:fill="auto"/>
            <w:noWrap/>
            <w:vAlign w:val="center"/>
          </w:tcPr>
          <w:p w14:paraId="6CA15DF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内存</w:t>
            </w:r>
          </w:p>
        </w:tc>
        <w:tc>
          <w:tcPr>
            <w:tcW w:w="603" w:type="pct"/>
            <w:tcBorders>
              <w:top w:val="single" w:color="000000" w:sz="4" w:space="0"/>
              <w:left w:val="single" w:color="000000" w:sz="4" w:space="0"/>
              <w:right w:val="single" w:color="000000" w:sz="4" w:space="0"/>
            </w:tcBorders>
            <w:shd w:val="clear" w:color="auto" w:fill="auto"/>
            <w:vAlign w:val="center"/>
          </w:tcPr>
          <w:p w14:paraId="2BD59E3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HBA卡数量</w:t>
            </w:r>
          </w:p>
        </w:tc>
        <w:tc>
          <w:tcPr>
            <w:tcW w:w="858" w:type="pct"/>
            <w:tcBorders>
              <w:top w:val="single" w:color="000000" w:sz="4" w:space="0"/>
              <w:left w:val="single" w:color="000000" w:sz="4" w:space="0"/>
              <w:right w:val="single" w:color="000000" w:sz="4" w:space="0"/>
            </w:tcBorders>
            <w:shd w:val="clear" w:color="auto" w:fill="auto"/>
            <w:vAlign w:val="center"/>
          </w:tcPr>
          <w:p w14:paraId="6EADF46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固态硬盘</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936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机械硬盘</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95A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cs="仿宋_GB2312"/>
                <w:color w:val="000000"/>
                <w:kern w:val="0"/>
                <w:sz w:val="28"/>
                <w:szCs w:val="28"/>
                <w:lang w:val="en-US" w:eastAsia="zh-CN" w:bidi="ar"/>
              </w:rPr>
              <w:t>部署环境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AF0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cs="仿宋_GB2312"/>
                <w:color w:val="000000"/>
                <w:kern w:val="0"/>
                <w:sz w:val="28"/>
                <w:szCs w:val="28"/>
                <w:lang w:val="en-US" w:eastAsia="zh-CN" w:bidi="ar"/>
              </w:rPr>
              <w:t>备注</w:t>
            </w:r>
          </w:p>
        </w:tc>
      </w:tr>
      <w:tr w14:paraId="43874989">
        <w:tblPrEx>
          <w:tblCellMar>
            <w:top w:w="0" w:type="dxa"/>
            <w:left w:w="57" w:type="dxa"/>
            <w:bottom w:w="0" w:type="dxa"/>
            <w:right w:w="57" w:type="dxa"/>
          </w:tblCellMar>
        </w:tblPrEx>
        <w:trPr>
          <w:trHeight w:val="94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CC0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59F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1TB</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7F5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7EC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1.8TB(1块</w:t>
            </w:r>
            <w:r>
              <w:rPr>
                <w:rFonts w:hint="eastAsia" w:cs="仿宋_GB2312"/>
                <w:kern w:val="0"/>
                <w:sz w:val="28"/>
                <w:szCs w:val="28"/>
                <w:lang w:eastAsia="zh-CN" w:bidi="ar"/>
              </w:rPr>
              <w:t>）</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747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10GB(6块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；512GB(35块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；1TB(107块</w:t>
            </w:r>
            <w:r>
              <w:rPr>
                <w:rFonts w:hint="eastAsia" w:cs="仿宋_GB2312"/>
                <w:kern w:val="0"/>
                <w:sz w:val="28"/>
                <w:szCs w:val="28"/>
                <w:lang w:eastAsia="zh-CN" w:bidi="ar"/>
              </w:rPr>
              <w:t>）</w:t>
            </w:r>
          </w:p>
        </w:tc>
        <w:tc>
          <w:tcPr>
            <w:tcW w:w="716" w:type="pct"/>
            <w:vMerge w:val="restart"/>
            <w:tcBorders>
              <w:top w:val="single" w:color="000000" w:sz="4" w:space="0"/>
              <w:left w:val="single" w:color="000000" w:sz="4" w:space="0"/>
              <w:right w:val="single" w:color="000000" w:sz="4" w:space="0"/>
            </w:tcBorders>
            <w:shd w:val="clear" w:color="auto" w:fill="auto"/>
            <w:vAlign w:val="center"/>
          </w:tcPr>
          <w:p w14:paraId="6298C73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仿宋_GB2312" w:eastAsia="仿宋_GB2312" w:cs="仿宋_GB2312"/>
                <w:kern w:val="0"/>
                <w:sz w:val="28"/>
                <w:szCs w:val="28"/>
                <w:lang w:val="en-US" w:eastAsia="zh-CN" w:bidi="ar"/>
              </w:rPr>
            </w:pPr>
            <w:r>
              <w:rPr>
                <w:rFonts w:hint="eastAsia" w:cs="仿宋_GB2312"/>
                <w:kern w:val="0"/>
                <w:sz w:val="28"/>
                <w:szCs w:val="28"/>
                <w:lang w:val="en-US" w:eastAsia="zh-CN" w:bidi="ar"/>
              </w:rPr>
              <w:t>人社厅数据中心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053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r>
      <w:tr w14:paraId="6D2F3FCF">
        <w:tblPrEx>
          <w:tblCellMar>
            <w:top w:w="0" w:type="dxa"/>
            <w:left w:w="57" w:type="dxa"/>
            <w:bottom w:w="0" w:type="dxa"/>
            <w:right w:w="57" w:type="dxa"/>
          </w:tblCellMar>
        </w:tblPrEx>
        <w:trPr>
          <w:trHeight w:val="9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84B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25A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1TB</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DE6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936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1.8TB(1块</w:t>
            </w:r>
            <w:r>
              <w:rPr>
                <w:rFonts w:hint="eastAsia" w:cs="仿宋_GB2312"/>
                <w:kern w:val="0"/>
                <w:sz w:val="28"/>
                <w:szCs w:val="28"/>
                <w:lang w:eastAsia="zh-CN" w:bidi="ar"/>
              </w:rPr>
              <w:t>）</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BE4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10GB(6块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；512GB(35块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；1TB(107块</w:t>
            </w:r>
            <w:r>
              <w:rPr>
                <w:rFonts w:hint="eastAsia" w:cs="仿宋_GB2312"/>
                <w:kern w:val="0"/>
                <w:sz w:val="28"/>
                <w:szCs w:val="28"/>
                <w:lang w:eastAsia="zh-CN" w:bidi="ar"/>
              </w:rPr>
              <w:t>）</w:t>
            </w:r>
          </w:p>
        </w:tc>
        <w:tc>
          <w:tcPr>
            <w:tcW w:w="716" w:type="pct"/>
            <w:vMerge w:val="continue"/>
            <w:tcBorders>
              <w:left w:val="single" w:color="000000" w:sz="4" w:space="0"/>
              <w:right w:val="single" w:color="000000" w:sz="4" w:space="0"/>
            </w:tcBorders>
            <w:shd w:val="clear" w:color="auto" w:fill="auto"/>
            <w:vAlign w:val="center"/>
          </w:tcPr>
          <w:p w14:paraId="590DBAC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A7D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r>
      <w:tr w14:paraId="134717DF">
        <w:tblPrEx>
          <w:tblCellMar>
            <w:top w:w="0" w:type="dxa"/>
            <w:left w:w="57" w:type="dxa"/>
            <w:bottom w:w="0" w:type="dxa"/>
            <w:right w:w="57" w:type="dxa"/>
          </w:tblCellMar>
        </w:tblPrEx>
        <w:trPr>
          <w:trHeight w:val="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1BB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righ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95D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1TB</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A63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6B7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3.5TB(2块，其中一块配置为多路径</w:t>
            </w:r>
            <w:r>
              <w:rPr>
                <w:rFonts w:hint="eastAsia" w:cs="仿宋_GB2312"/>
                <w:kern w:val="0"/>
                <w:sz w:val="28"/>
                <w:szCs w:val="28"/>
                <w:lang w:eastAsia="zh-CN" w:bidi="ar"/>
              </w:rPr>
              <w:t>）</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209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1GB(17块</w:t>
            </w:r>
            <w:r>
              <w:rPr>
                <w:rFonts w:hint="eastAsia" w:cs="仿宋_GB2312"/>
                <w:kern w:val="0"/>
                <w:sz w:val="28"/>
                <w:szCs w:val="28"/>
                <w:lang w:eastAsia="zh-CN" w:bidi="ar"/>
              </w:rPr>
              <w:t>）</w:t>
            </w:r>
            <w:r>
              <w:rPr>
                <w:rFonts w:hint="eastAsia" w:ascii="仿宋_GB2312" w:hAnsi="仿宋_GB2312" w:eastAsia="仿宋_GB2312" w:cs="仿宋_GB2312"/>
                <w:kern w:val="0"/>
                <w:sz w:val="28"/>
                <w:szCs w:val="28"/>
                <w:lang w:bidi="ar"/>
              </w:rPr>
              <w:t>；10GB(6块</w:t>
            </w:r>
            <w:r>
              <w:rPr>
                <w:rFonts w:hint="eastAsia" w:cs="仿宋_GB2312"/>
                <w:kern w:val="0"/>
                <w:sz w:val="28"/>
                <w:szCs w:val="28"/>
                <w:lang w:eastAsia="zh-CN" w:bidi="ar"/>
              </w:rPr>
              <w:t>）</w:t>
            </w:r>
          </w:p>
        </w:tc>
        <w:tc>
          <w:tcPr>
            <w:tcW w:w="716" w:type="pct"/>
            <w:vMerge w:val="continue"/>
            <w:tcBorders>
              <w:left w:val="single" w:color="000000" w:sz="4" w:space="0"/>
              <w:bottom w:val="single" w:color="000000" w:sz="4" w:space="0"/>
              <w:right w:val="single" w:color="000000" w:sz="4" w:space="0"/>
            </w:tcBorders>
            <w:shd w:val="clear" w:color="auto" w:fill="auto"/>
            <w:vAlign w:val="center"/>
          </w:tcPr>
          <w:p w14:paraId="1028673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5BC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kern w:val="0"/>
                <w:sz w:val="28"/>
                <w:szCs w:val="28"/>
                <w:lang w:bidi="ar"/>
              </w:rPr>
            </w:pPr>
          </w:p>
        </w:tc>
      </w:tr>
    </w:tbl>
    <w:p w14:paraId="4A49A0C2">
      <w:pPr>
        <w:pStyle w:val="8"/>
        <w:numPr>
          <w:ilvl w:val="-1"/>
          <w:numId w:val="0"/>
          <w:ins w:id="14" w:author="ysgz" w:date=""/>
        </w:numPr>
        <w:bidi w:val="0"/>
        <w:ind w:left="0" w:leftChars="0" w:firstLine="643" w:firstLineChars="200"/>
        <w:rPr>
          <w:rFonts w:hint="eastAsia"/>
          <w:lang w:val="en-US" w:eastAsia="zh-CN"/>
        </w:rPr>
      </w:pPr>
      <w:r>
        <w:rPr>
          <w:rFonts w:hint="eastAsia"/>
          <w:lang w:val="en-US" w:eastAsia="zh-CN"/>
        </w:rPr>
        <w:t>b.资源需求</w:t>
      </w:r>
    </w:p>
    <w:p w14:paraId="7204CF08">
      <w:pPr>
        <w:spacing w:line="560" w:lineRule="exact"/>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根据人社部《人力资源社会保障行业应用信创建设指南》（人社网信函〔2024〕4号）中选型的指导建议，“对于复杂场景下的交易型业务</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数据规模在1亿以上、高并发的业务，推荐选择分布式数据库，</w:t>
      </w:r>
      <w:r>
        <w:rPr>
          <w:rFonts w:hint="eastAsia" w:cs="仿宋_GB2312"/>
          <w:b w:val="0"/>
          <w:bCs w:val="0"/>
          <w:sz w:val="32"/>
          <w:szCs w:val="32"/>
          <w:lang w:val="en-US" w:eastAsia="zh-CN"/>
        </w:rPr>
        <w:t>例如</w:t>
      </w:r>
      <w:r>
        <w:rPr>
          <w:rFonts w:hint="eastAsia" w:ascii="仿宋_GB2312" w:hAnsi="仿宋_GB2312" w:eastAsia="仿宋_GB2312" w:cs="仿宋_GB2312"/>
          <w:b w:val="0"/>
          <w:bCs w:val="0"/>
          <w:sz w:val="32"/>
          <w:szCs w:val="32"/>
        </w:rPr>
        <w:t>社保、就业等覆盖全省</w:t>
      </w:r>
      <w:r>
        <w:rPr>
          <w:rFonts w:hint="eastAsia" w:cs="仿宋_GB2312"/>
          <w:b w:val="0"/>
          <w:bCs w:val="0"/>
          <w:sz w:val="32"/>
          <w:szCs w:val="32"/>
          <w:lang w:val="en-US" w:eastAsia="zh-CN"/>
        </w:rPr>
        <w:t>人口</w:t>
      </w:r>
      <w:r>
        <w:rPr>
          <w:rFonts w:hint="eastAsia" w:ascii="仿宋_GB2312" w:hAnsi="仿宋_GB2312" w:eastAsia="仿宋_GB2312" w:cs="仿宋_GB2312"/>
          <w:b w:val="0"/>
          <w:bCs w:val="0"/>
          <w:sz w:val="32"/>
          <w:szCs w:val="32"/>
        </w:rPr>
        <w:t>的业务”</w:t>
      </w:r>
      <w:r>
        <w:rPr>
          <w:rFonts w:hint="eastAsia" w:cs="仿宋_GB2312"/>
          <w:b w:val="0"/>
          <w:bCs w:val="0"/>
          <w:sz w:val="32"/>
          <w:szCs w:val="32"/>
          <w:lang w:eastAsia="zh-CN"/>
        </w:rPr>
        <w:t>、“</w:t>
      </w:r>
      <w:r>
        <w:rPr>
          <w:rFonts w:hint="eastAsia" w:cs="仿宋_GB2312"/>
          <w:b w:val="0"/>
          <w:bCs w:val="0"/>
          <w:sz w:val="32"/>
          <w:szCs w:val="32"/>
          <w:lang w:val="en-US" w:eastAsia="zh-CN"/>
        </w:rPr>
        <w:t>中间件：在产品选择方面不仅要考虑业务系统的兼容适配问题，还要考虑产品的安全性，需选择国产正版中间件产品</w:t>
      </w:r>
      <w:r>
        <w:rPr>
          <w:rFonts w:hint="eastAsia" w:cs="仿宋_GB2312"/>
          <w:b w:val="0"/>
          <w:bCs w:val="0"/>
          <w:sz w:val="32"/>
          <w:szCs w:val="32"/>
          <w:lang w:eastAsia="zh-CN"/>
        </w:rPr>
        <w:t>”、“</w:t>
      </w:r>
      <w:r>
        <w:rPr>
          <w:rFonts w:hint="eastAsia" w:cs="仿宋_GB2312"/>
          <w:b w:val="0"/>
          <w:bCs w:val="0"/>
          <w:sz w:val="32"/>
          <w:szCs w:val="32"/>
          <w:lang w:val="en-US" w:eastAsia="zh-CN"/>
        </w:rPr>
        <w:t>云资源：云平台应兼容国产化和非国产化产品，可以实现‘一云多芯’……需确保应用数据在迁移到云平台后的完整可用</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cs="仿宋_GB2312"/>
          <w:b w:val="0"/>
          <w:bCs w:val="0"/>
          <w:sz w:val="32"/>
          <w:szCs w:val="32"/>
          <w:lang w:val="en-US" w:eastAsia="zh-CN"/>
        </w:rPr>
        <w:t>因此对数据库、中间件、云资源等需求如下：</w:t>
      </w:r>
    </w:p>
    <w:p w14:paraId="27F880E7">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数据库选型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针对本次改造，建议选择国产分布式数据库进行支撑，目前市场主流的分布式数据库包括OceanBase、GaussDB、达梦等，具体可根据情况而定。</w:t>
      </w:r>
    </w:p>
    <w:p w14:paraId="32AB0F40">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中间件选型</w:t>
      </w:r>
      <w:r>
        <w:rPr>
          <w:rFonts w:hint="eastAsia" w:cs="仿宋_GB2312"/>
          <w:b/>
          <w:bCs/>
          <w:sz w:val="32"/>
          <w:szCs w:val="32"/>
          <w:lang w:val="en-US" w:eastAsia="zh-CN"/>
        </w:rPr>
        <w:t>需求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中间件需要能够满足对国产CPU、国产操作系统的兼容，因此，建议选择目前市场比较主流的国产中间件。可选择金蝶、东方通等国产中间件。</w:t>
      </w:r>
    </w:p>
    <w:p w14:paraId="2D02DD4B">
      <w:p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云资源需求：</w:t>
      </w:r>
      <w:r>
        <w:rPr>
          <w:rFonts w:hint="eastAsia" w:ascii="仿宋_GB2312" w:hAnsi="仿宋_GB2312" w:eastAsia="仿宋_GB2312" w:cs="仿宋_GB2312"/>
          <w:sz w:val="32"/>
          <w:szCs w:val="32"/>
        </w:rPr>
        <w:t>根据系统目前现状和支撑资源，云资源需求主要包括数据库支撑和应用支撑两部分。其中，数据库支撑包括OLTP数据库和OLAP数据库，由于数据库业务对IO响应、稳定性等要求较高，建议采用裸金属物理机进行支撑。建议单台配置不低于128核心，1TB内存，根据所选DBMS的不同，采用不同的高可靠方式。对于应用支撑，则可直接由云虚拟机或容器进行支撑。</w:t>
      </w:r>
    </w:p>
    <w:p w14:paraId="2E088114">
      <w:pPr>
        <w:spacing w:line="560" w:lineRule="exact"/>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初步需求清单如下：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3686"/>
        <w:gridCol w:w="850"/>
        <w:gridCol w:w="1469"/>
      </w:tblGrid>
      <w:tr w14:paraId="6DE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953F06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4" w:type="dxa"/>
            <w:vAlign w:val="center"/>
          </w:tcPr>
          <w:p w14:paraId="456FBA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资源名称</w:t>
            </w:r>
          </w:p>
        </w:tc>
        <w:tc>
          <w:tcPr>
            <w:tcW w:w="3686" w:type="dxa"/>
            <w:vAlign w:val="center"/>
          </w:tcPr>
          <w:p w14:paraId="1E57E8D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概略配置</w:t>
            </w:r>
          </w:p>
        </w:tc>
        <w:tc>
          <w:tcPr>
            <w:tcW w:w="850" w:type="dxa"/>
            <w:vAlign w:val="center"/>
          </w:tcPr>
          <w:p w14:paraId="09E1FBB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469" w:type="dxa"/>
            <w:vAlign w:val="center"/>
          </w:tcPr>
          <w:p w14:paraId="111417A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5769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3B5FC8">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40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567DF5A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生产库</w:t>
            </w:r>
          </w:p>
        </w:tc>
        <w:tc>
          <w:tcPr>
            <w:tcW w:w="3686" w:type="dxa"/>
            <w:vAlign w:val="center"/>
          </w:tcPr>
          <w:p w14:paraId="67004BF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772A0A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14:paraId="1159C44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15290BE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TB SSD</w:t>
            </w:r>
          </w:p>
          <w:p w14:paraId="3150BAF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4E64303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9" w:type="dxa"/>
            <w:vAlign w:val="center"/>
          </w:tcPr>
          <w:p w14:paraId="0F18AF3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14:paraId="6266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5EE1EDC">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04F60CE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分析库</w:t>
            </w:r>
          </w:p>
        </w:tc>
        <w:tc>
          <w:tcPr>
            <w:tcW w:w="3686" w:type="dxa"/>
            <w:vAlign w:val="center"/>
          </w:tcPr>
          <w:p w14:paraId="25E741E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ARM 64</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主频≥</w:t>
            </w:r>
            <w:r>
              <w:rPr>
                <w:rFonts w:ascii="仿宋_GB2312" w:hAnsi="仿宋_GB2312" w:eastAsia="仿宋_GB2312" w:cs="仿宋_GB2312"/>
                <w:sz w:val="28"/>
                <w:szCs w:val="28"/>
              </w:rPr>
              <w:t>2.6GH</w:t>
            </w:r>
            <w:r>
              <w:rPr>
                <w:rFonts w:hint="eastAsia" w:ascii="仿宋_GB2312" w:hAnsi="仿宋_GB2312" w:eastAsia="仿宋_GB2312" w:cs="仿宋_GB2312"/>
                <w:sz w:val="28"/>
                <w:szCs w:val="28"/>
              </w:rPr>
              <w:t>z</w:t>
            </w:r>
          </w:p>
          <w:p w14:paraId="541139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024GB</w:t>
            </w:r>
            <w:r>
              <w:rPr>
                <w:rFonts w:hint="eastAsia" w:ascii="仿宋_GB2312" w:hAnsi="仿宋_GB2312" w:eastAsia="仿宋_GB2312" w:cs="仿宋_GB2312"/>
                <w:sz w:val="28"/>
                <w:szCs w:val="28"/>
              </w:rPr>
              <w:t>内存</w:t>
            </w:r>
          </w:p>
          <w:p w14:paraId="55956A9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480GB SSD</w:t>
            </w:r>
          </w:p>
          <w:p w14:paraId="0F00358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w:t>
            </w:r>
            <w:r>
              <w:rPr>
                <w:rFonts w:ascii="仿宋_GB2312" w:hAnsi="仿宋_GB2312" w:eastAsia="仿宋_GB2312" w:cs="仿宋_GB2312"/>
                <w:sz w:val="28"/>
                <w:szCs w:val="28"/>
              </w:rPr>
              <w:t>TB SSD</w:t>
            </w:r>
          </w:p>
          <w:p w14:paraId="14073DE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4×G</w:t>
            </w:r>
            <w:r>
              <w:rPr>
                <w:rFonts w:ascii="仿宋_GB2312" w:hAnsi="仿宋_GB2312" w:eastAsia="仿宋_GB2312" w:cs="仿宋_GB2312"/>
                <w:sz w:val="28"/>
                <w:szCs w:val="28"/>
              </w:rPr>
              <w:t>E</w:t>
            </w:r>
            <w:r>
              <w:rPr>
                <w:rFonts w:hint="eastAsia" w:cs="仿宋_GB2312"/>
                <w:sz w:val="28"/>
                <w:szCs w:val="28"/>
                <w:lang w:eastAsia="zh-CN"/>
              </w:rPr>
              <w:t>,</w:t>
            </w:r>
            <w:r>
              <w:rPr>
                <w:rFonts w:hint="eastAsia" w:ascii="仿宋_GB2312" w:hAnsi="仿宋_GB2312" w:eastAsia="仿宋_GB2312" w:cs="仿宋_GB2312"/>
                <w:sz w:val="28"/>
                <w:szCs w:val="28"/>
              </w:rPr>
              <w:t>4×1</w:t>
            </w:r>
            <w:r>
              <w:rPr>
                <w:rFonts w:ascii="仿宋_GB2312" w:hAnsi="仿宋_GB2312" w:eastAsia="仿宋_GB2312" w:cs="仿宋_GB2312"/>
                <w:sz w:val="28"/>
                <w:szCs w:val="28"/>
              </w:rPr>
              <w:t>0GE</w:t>
            </w:r>
          </w:p>
        </w:tc>
        <w:tc>
          <w:tcPr>
            <w:tcW w:w="850" w:type="dxa"/>
            <w:vAlign w:val="center"/>
          </w:tcPr>
          <w:p w14:paraId="12E0A56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9" w:type="dxa"/>
            <w:vAlign w:val="center"/>
          </w:tcPr>
          <w:p w14:paraId="4B74BF8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建议物理机</w:t>
            </w:r>
          </w:p>
        </w:tc>
      </w:tr>
      <w:tr w14:paraId="6884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F3E28A1">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55B9DAC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应用虚拟机1</w:t>
            </w:r>
          </w:p>
        </w:tc>
        <w:tc>
          <w:tcPr>
            <w:tcW w:w="3686" w:type="dxa"/>
            <w:vAlign w:val="center"/>
          </w:tcPr>
          <w:p w14:paraId="1905DF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2BDCA2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128</w:t>
            </w:r>
            <w:r>
              <w:rPr>
                <w:rFonts w:ascii="仿宋_GB2312" w:hAnsi="仿宋_GB2312" w:eastAsia="仿宋_GB2312" w:cs="仿宋_GB2312"/>
                <w:sz w:val="28"/>
                <w:szCs w:val="28"/>
              </w:rPr>
              <w:t>GB</w:t>
            </w:r>
            <w:r>
              <w:rPr>
                <w:rFonts w:hint="eastAsia" w:ascii="仿宋_GB2312" w:hAnsi="仿宋_GB2312" w:eastAsia="仿宋_GB2312" w:cs="仿宋_GB2312"/>
                <w:sz w:val="28"/>
                <w:szCs w:val="28"/>
              </w:rPr>
              <w:t>内存</w:t>
            </w:r>
          </w:p>
          <w:p w14:paraId="1EA4C39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46EAAF4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数据盘</w:t>
            </w:r>
          </w:p>
        </w:tc>
        <w:tc>
          <w:tcPr>
            <w:tcW w:w="850" w:type="dxa"/>
            <w:vAlign w:val="center"/>
          </w:tcPr>
          <w:p w14:paraId="4255E6E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469" w:type="dxa"/>
            <w:vAlign w:val="center"/>
          </w:tcPr>
          <w:p w14:paraId="1C61127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社保基金财务管理系统</w:t>
            </w:r>
          </w:p>
        </w:tc>
      </w:tr>
      <w:tr w14:paraId="395D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E2C650">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368F42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2</w:t>
            </w:r>
          </w:p>
        </w:tc>
        <w:tc>
          <w:tcPr>
            <w:tcW w:w="3686" w:type="dxa"/>
            <w:vAlign w:val="center"/>
          </w:tcPr>
          <w:p w14:paraId="047E068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16</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3BBF716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32GB</w:t>
            </w:r>
            <w:r>
              <w:rPr>
                <w:rFonts w:hint="eastAsia" w:ascii="仿宋_GB2312" w:hAnsi="仿宋_GB2312" w:eastAsia="仿宋_GB2312" w:cs="仿宋_GB2312"/>
                <w:sz w:val="28"/>
                <w:szCs w:val="28"/>
              </w:rPr>
              <w:t>内存</w:t>
            </w:r>
          </w:p>
          <w:p w14:paraId="6D18CBF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14DD194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r>
              <w:rPr>
                <w:rFonts w:ascii="仿宋_GB2312" w:hAnsi="仿宋_GB2312" w:eastAsia="仿宋_GB2312" w:cs="仿宋_GB2312"/>
                <w:sz w:val="28"/>
                <w:szCs w:val="28"/>
              </w:rPr>
              <w:t xml:space="preserve">GB </w:t>
            </w:r>
            <w:r>
              <w:rPr>
                <w:rFonts w:hint="eastAsia" w:ascii="仿宋_GB2312" w:hAnsi="仿宋_GB2312" w:eastAsia="仿宋_GB2312" w:cs="仿宋_GB2312"/>
                <w:sz w:val="28"/>
                <w:szCs w:val="28"/>
              </w:rPr>
              <w:t>数据盘</w:t>
            </w:r>
          </w:p>
        </w:tc>
        <w:tc>
          <w:tcPr>
            <w:tcW w:w="850" w:type="dxa"/>
            <w:vAlign w:val="center"/>
          </w:tcPr>
          <w:p w14:paraId="467CE86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69" w:type="dxa"/>
            <w:vAlign w:val="center"/>
          </w:tcPr>
          <w:p w14:paraId="50A12B5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minio对象存储（生产）</w:t>
            </w:r>
          </w:p>
        </w:tc>
      </w:tr>
      <w:tr w14:paraId="5802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F95EA7E">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780173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应用虚拟机</w:t>
            </w:r>
            <w:r>
              <w:rPr>
                <w:rFonts w:ascii="仿宋_GB2312" w:hAnsi="仿宋_GB2312" w:eastAsia="仿宋_GB2312" w:cs="仿宋_GB2312"/>
                <w:sz w:val="28"/>
                <w:szCs w:val="28"/>
              </w:rPr>
              <w:t>3</w:t>
            </w:r>
          </w:p>
        </w:tc>
        <w:tc>
          <w:tcPr>
            <w:tcW w:w="3686" w:type="dxa"/>
            <w:vAlign w:val="center"/>
          </w:tcPr>
          <w:p w14:paraId="19D485F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c</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vcpu</w:t>
            </w:r>
          </w:p>
          <w:p w14:paraId="5351007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4GB</w:t>
            </w:r>
            <w:r>
              <w:rPr>
                <w:rFonts w:hint="eastAsia" w:ascii="仿宋_GB2312" w:hAnsi="仿宋_GB2312" w:eastAsia="仿宋_GB2312" w:cs="仿宋_GB2312"/>
                <w:sz w:val="28"/>
                <w:szCs w:val="28"/>
              </w:rPr>
              <w:t>内存</w:t>
            </w:r>
          </w:p>
          <w:p w14:paraId="06BCA4D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00GB</w:t>
            </w:r>
            <w:r>
              <w:rPr>
                <w:rFonts w:hint="eastAsia" w:ascii="仿宋_GB2312" w:hAnsi="仿宋_GB2312" w:eastAsia="仿宋_GB2312" w:cs="仿宋_GB2312"/>
                <w:sz w:val="28"/>
                <w:szCs w:val="28"/>
              </w:rPr>
              <w:t>系统盘</w:t>
            </w:r>
          </w:p>
          <w:p w14:paraId="3FB0BD1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500GB</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数据盘</w:t>
            </w:r>
          </w:p>
        </w:tc>
        <w:tc>
          <w:tcPr>
            <w:tcW w:w="850" w:type="dxa"/>
            <w:vAlign w:val="center"/>
          </w:tcPr>
          <w:p w14:paraId="21635B5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469" w:type="dxa"/>
            <w:vAlign w:val="center"/>
          </w:tcPr>
          <w:p w14:paraId="5407E1F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电子会计档案系统</w:t>
            </w:r>
          </w:p>
        </w:tc>
      </w:tr>
      <w:tr w14:paraId="25C4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721659">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1CECC22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非结构化存储</w:t>
            </w:r>
          </w:p>
        </w:tc>
        <w:tc>
          <w:tcPr>
            <w:tcW w:w="3686" w:type="dxa"/>
            <w:vAlign w:val="center"/>
          </w:tcPr>
          <w:p w14:paraId="0B11B7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提供非结构化数据存储能力</w:t>
            </w:r>
          </w:p>
          <w:p w14:paraId="5FA4D00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对象存储或N</w:t>
            </w:r>
            <w:r>
              <w:rPr>
                <w:rFonts w:ascii="仿宋_GB2312" w:hAnsi="仿宋_GB2312" w:eastAsia="仿宋_GB2312" w:cs="仿宋_GB2312"/>
                <w:sz w:val="28"/>
                <w:szCs w:val="28"/>
              </w:rPr>
              <w:t>AS</w:t>
            </w:r>
            <w:r>
              <w:rPr>
                <w:rFonts w:hint="eastAsia" w:ascii="仿宋_GB2312" w:hAnsi="仿宋_GB2312" w:eastAsia="仿宋_GB2312" w:cs="仿宋_GB2312"/>
                <w:sz w:val="28"/>
                <w:szCs w:val="28"/>
              </w:rPr>
              <w:t>或其他N</w:t>
            </w:r>
            <w:r>
              <w:rPr>
                <w:rFonts w:ascii="仿宋_GB2312" w:hAnsi="仿宋_GB2312" w:eastAsia="仿宋_GB2312" w:cs="仿宋_GB2312"/>
                <w:sz w:val="28"/>
                <w:szCs w:val="28"/>
              </w:rPr>
              <w:t>FS</w:t>
            </w:r>
          </w:p>
          <w:p w14:paraId="45FDE2F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能够挂载给应用虚拟机</w:t>
            </w:r>
          </w:p>
          <w:p w14:paraId="7B30DAC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存储空间≥</w:t>
            </w:r>
            <w:r>
              <w:rPr>
                <w:rFonts w:ascii="仿宋_GB2312" w:hAnsi="仿宋_GB2312" w:eastAsia="仿宋_GB2312" w:cs="仿宋_GB2312"/>
                <w:sz w:val="28"/>
                <w:szCs w:val="28"/>
              </w:rPr>
              <w:t>300TB</w:t>
            </w:r>
          </w:p>
          <w:p w14:paraId="4F3585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并支持在线扩展</w:t>
            </w:r>
          </w:p>
        </w:tc>
        <w:tc>
          <w:tcPr>
            <w:tcW w:w="850" w:type="dxa"/>
            <w:vAlign w:val="center"/>
          </w:tcPr>
          <w:p w14:paraId="466D102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restart"/>
            <w:vAlign w:val="center"/>
          </w:tcPr>
          <w:p w14:paraId="42008F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政务云统一提供</w:t>
            </w:r>
          </w:p>
        </w:tc>
      </w:tr>
      <w:tr w14:paraId="7342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490B9E4">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3829636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备份资源</w:t>
            </w:r>
          </w:p>
        </w:tc>
        <w:tc>
          <w:tcPr>
            <w:tcW w:w="3686" w:type="dxa"/>
            <w:vAlign w:val="center"/>
          </w:tcPr>
          <w:p w14:paraId="7780033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支持对国产数据库进行备份</w:t>
            </w:r>
          </w:p>
          <w:p w14:paraId="3F6D78D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支持备份结构化数据和非结构化数据</w:t>
            </w:r>
          </w:p>
          <w:p w14:paraId="7AF029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支持通过删重或压缩来节省空间</w:t>
            </w:r>
          </w:p>
          <w:p w14:paraId="6E10012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可用容量≥6</w:t>
            </w:r>
            <w:r>
              <w:rPr>
                <w:rFonts w:ascii="仿宋_GB2312" w:hAnsi="仿宋_GB2312" w:eastAsia="仿宋_GB2312" w:cs="仿宋_GB2312"/>
                <w:sz w:val="28"/>
                <w:szCs w:val="28"/>
              </w:rPr>
              <w:t>00TB</w:t>
            </w:r>
            <w:r>
              <w:rPr>
                <w:rFonts w:hint="eastAsia" w:ascii="仿宋_GB2312" w:hAnsi="仿宋_GB2312" w:eastAsia="仿宋_GB2312" w:cs="仿宋_GB2312"/>
                <w:sz w:val="28"/>
                <w:szCs w:val="28"/>
              </w:rPr>
              <w:t>，并支持在线扩容</w:t>
            </w:r>
          </w:p>
        </w:tc>
        <w:tc>
          <w:tcPr>
            <w:tcW w:w="850" w:type="dxa"/>
            <w:vAlign w:val="center"/>
          </w:tcPr>
          <w:p w14:paraId="567909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3779A34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14:paraId="38FD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F26DDC6">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280965A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安全和密码资源</w:t>
            </w:r>
          </w:p>
        </w:tc>
        <w:tc>
          <w:tcPr>
            <w:tcW w:w="3686" w:type="dxa"/>
            <w:vAlign w:val="center"/>
          </w:tcPr>
          <w:p w14:paraId="26FDBE1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提供符合等级保护三级标准的安全防护资源。</w:t>
            </w:r>
          </w:p>
          <w:p w14:paraId="760908F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提供符合密码防护要求三级标准的密码防护资源</w:t>
            </w:r>
          </w:p>
        </w:tc>
        <w:tc>
          <w:tcPr>
            <w:tcW w:w="850" w:type="dxa"/>
            <w:vAlign w:val="center"/>
          </w:tcPr>
          <w:p w14:paraId="46DAA61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1F020F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14:paraId="0197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F811089">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5A205F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网络资源</w:t>
            </w:r>
          </w:p>
        </w:tc>
        <w:tc>
          <w:tcPr>
            <w:tcW w:w="3686" w:type="dxa"/>
            <w:vAlign w:val="center"/>
          </w:tcPr>
          <w:p w14:paraId="35636F5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提供电子政务外网（金保专网）连接，提供互联网连接</w:t>
            </w:r>
          </w:p>
          <w:p w14:paraId="6AA8455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cs="仿宋_GB2312"/>
                <w:sz w:val="28"/>
                <w:szCs w:val="28"/>
                <w:lang w:eastAsia="zh-CN"/>
              </w:rPr>
              <w:t>广域网</w:t>
            </w:r>
            <w:r>
              <w:rPr>
                <w:rFonts w:hint="eastAsia" w:ascii="仿宋_GB2312" w:hAnsi="仿宋_GB2312" w:eastAsia="仿宋_GB2312" w:cs="仿宋_GB2312"/>
                <w:sz w:val="28"/>
                <w:szCs w:val="28"/>
              </w:rPr>
              <w:t>提供安全隔离</w:t>
            </w:r>
          </w:p>
          <w:p w14:paraId="4438D84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局域网内部提供不低于1</w:t>
            </w:r>
            <w:r>
              <w:rPr>
                <w:rFonts w:ascii="仿宋_GB2312" w:hAnsi="仿宋_GB2312" w:eastAsia="仿宋_GB2312" w:cs="仿宋_GB2312"/>
                <w:sz w:val="28"/>
                <w:szCs w:val="28"/>
              </w:rPr>
              <w:t>0GE</w:t>
            </w:r>
            <w:r>
              <w:rPr>
                <w:rFonts w:hint="eastAsia" w:ascii="仿宋_GB2312" w:hAnsi="仿宋_GB2312" w:eastAsia="仿宋_GB2312" w:cs="仿宋_GB2312"/>
                <w:sz w:val="28"/>
                <w:szCs w:val="28"/>
              </w:rPr>
              <w:t>速率连接</w:t>
            </w:r>
          </w:p>
        </w:tc>
        <w:tc>
          <w:tcPr>
            <w:tcW w:w="850" w:type="dxa"/>
            <w:vAlign w:val="center"/>
          </w:tcPr>
          <w:p w14:paraId="64FFA5F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5172C04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r w14:paraId="426E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8D5A81C">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c>
          <w:tcPr>
            <w:tcW w:w="1984" w:type="dxa"/>
            <w:vAlign w:val="center"/>
          </w:tcPr>
          <w:p w14:paraId="425DEA4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系统软件</w:t>
            </w:r>
          </w:p>
        </w:tc>
        <w:tc>
          <w:tcPr>
            <w:tcW w:w="3686" w:type="dxa"/>
            <w:vAlign w:val="center"/>
          </w:tcPr>
          <w:p w14:paraId="0AB80CB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国产分布式数据库</w:t>
            </w:r>
          </w:p>
          <w:p w14:paraId="6DC3BC8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国产M</w:t>
            </w:r>
            <w:r>
              <w:rPr>
                <w:rFonts w:ascii="仿宋_GB2312" w:hAnsi="仿宋_GB2312" w:eastAsia="仿宋_GB2312" w:cs="仿宋_GB2312"/>
                <w:sz w:val="28"/>
                <w:szCs w:val="28"/>
              </w:rPr>
              <w:t>PP</w:t>
            </w:r>
            <w:r>
              <w:rPr>
                <w:rFonts w:hint="eastAsia" w:ascii="仿宋_GB2312" w:hAnsi="仿宋_GB2312" w:eastAsia="仿宋_GB2312" w:cs="仿宋_GB2312"/>
                <w:sz w:val="28"/>
                <w:szCs w:val="28"/>
              </w:rPr>
              <w:t>分析型数据库</w:t>
            </w:r>
          </w:p>
          <w:p w14:paraId="3C433FF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国产操作系统</w:t>
            </w:r>
          </w:p>
          <w:p w14:paraId="2398631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国产中间件</w:t>
            </w:r>
          </w:p>
          <w:p w14:paraId="19CCEF3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国产数据同步工具</w:t>
            </w:r>
          </w:p>
        </w:tc>
        <w:tc>
          <w:tcPr>
            <w:tcW w:w="850" w:type="dxa"/>
            <w:vAlign w:val="center"/>
          </w:tcPr>
          <w:p w14:paraId="4B1ADB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69" w:type="dxa"/>
            <w:vMerge w:val="continue"/>
            <w:vAlign w:val="center"/>
          </w:tcPr>
          <w:p w14:paraId="3F18F67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tc>
      </w:tr>
    </w:tbl>
    <w:p w14:paraId="6E6F79A6">
      <w:pPr>
        <w:spacing w:line="560" w:lineRule="exact"/>
        <w:ind w:left="0" w:leftChars="0" w:firstLine="0" w:firstLineChars="0"/>
        <w:rPr>
          <w:rFonts w:hint="eastAsia" w:ascii="仿宋_GB2312" w:hAnsi="仿宋_GB2312" w:eastAsia="仿宋_GB2312" w:cs="仿宋_GB2312"/>
          <w:sz w:val="32"/>
          <w:szCs w:val="32"/>
        </w:rPr>
      </w:pPr>
    </w:p>
    <w:p w14:paraId="6A8E3B4F">
      <w:pPr>
        <w:pStyle w:val="8"/>
        <w:numPr>
          <w:ilvl w:val="-1"/>
          <w:numId w:val="0"/>
          <w:ins w:id="15" w:author="ysgz" w:date=""/>
        </w:numPr>
        <w:bidi w:val="0"/>
        <w:ind w:left="0" w:leftChars="0" w:firstLine="643" w:firstLineChars="200"/>
        <w:rPr>
          <w:rFonts w:hint="eastAsia"/>
          <w:lang w:val="en-US" w:eastAsia="zh-CN"/>
        </w:rPr>
      </w:pPr>
      <w:r>
        <w:rPr>
          <w:rFonts w:hint="eastAsia"/>
          <w:lang w:val="en-US" w:eastAsia="zh-CN"/>
        </w:rPr>
        <w:t>c.国产化适配软件改造内容</w:t>
      </w:r>
    </w:p>
    <w:p w14:paraId="45367F98">
      <w:pPr>
        <w:ind w:left="0" w:leftChars="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涉及的系统包括基金财务系统和电子会计档案系统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其中，基金财务系统，约290余个功能点；电子会计档案系统，约300余个功能点。</w:t>
      </w:r>
    </w:p>
    <w:p w14:paraId="506CE113">
      <w:pPr>
        <w:pStyle w:val="7"/>
        <w:numPr>
          <w:ilvl w:val="-1"/>
          <w:numId w:val="0"/>
        </w:numPr>
        <w:bidi w:val="0"/>
        <w:ind w:firstLine="643" w:firstLineChars="200"/>
        <w:rPr>
          <w:rFonts w:hint="eastAsia" w:cs="仿宋_GB2312"/>
          <w:color w:val="auto"/>
          <w:szCs w:val="32"/>
          <w:lang w:val="en-US" w:eastAsia="zh-CN"/>
        </w:rPr>
      </w:pPr>
      <w:r>
        <w:rPr>
          <w:rFonts w:hint="eastAsia" w:cs="仿宋_GB2312"/>
          <w:color w:val="auto"/>
          <w:szCs w:val="32"/>
          <w:lang w:val="en-US" w:eastAsia="zh-CN"/>
        </w:rPr>
        <w:t>（5）社会保险系统国产密码适配需求</w:t>
      </w:r>
    </w:p>
    <w:p w14:paraId="3556B304">
      <w:pPr>
        <w:ind w:left="0" w:leftChars="0" w:firstLine="640" w:firstLineChars="200"/>
        <w:rPr>
          <w:rFonts w:hint="eastAsia" w:cs="仿宋_GB2312"/>
          <w:szCs w:val="32"/>
          <w:lang w:val="en-US" w:eastAsia="zh-CN"/>
        </w:rPr>
      </w:pPr>
      <w:r>
        <w:rPr>
          <w:rFonts w:hint="eastAsia" w:cs="仿宋_GB2312"/>
          <w:szCs w:val="32"/>
          <w:lang w:val="en-US" w:eastAsia="zh-CN"/>
        </w:rPr>
        <w:t>根据风险控制需求，结合《GB/T 39786-2021信息安全技术 信息系统密码应用基本要求》等级保护第三级密码防护要求，需通过密码的机密性、完整性、真实性、不可否认性功能，对应用和数据进行防护。</w:t>
      </w:r>
    </w:p>
    <w:p w14:paraId="36F6ABB7">
      <w:pPr>
        <w:ind w:left="0" w:leftChars="0" w:firstLine="640" w:firstLineChars="200"/>
        <w:rPr>
          <w:rFonts w:hint="eastAsia" w:cs="仿宋_GB2312"/>
          <w:szCs w:val="32"/>
          <w:lang w:val="en-US" w:eastAsia="zh-CN"/>
        </w:rPr>
      </w:pPr>
      <w:r>
        <w:rPr>
          <w:rFonts w:hint="eastAsia" w:cs="仿宋_GB2312"/>
          <w:szCs w:val="32"/>
          <w:lang w:val="en-US" w:eastAsia="zh-CN"/>
        </w:rPr>
        <w:t>根据国家相关要求，信息系统的密码应用应依据《GB/T 39786-2021信息安全技术 信息系统密码应用基本要求》并采取相应保护措施，提升系统的安全防护水平。对于已建的网络和信息系统需要进行密码应用改造，并进行评估。</w:t>
      </w:r>
    </w:p>
    <w:p w14:paraId="3514BFD6">
      <w:pPr>
        <w:pStyle w:val="7"/>
        <w:numPr>
          <w:ilvl w:val="-1"/>
          <w:numId w:val="0"/>
        </w:numPr>
        <w:bidi w:val="0"/>
        <w:ind w:firstLine="643" w:firstLineChars="200"/>
        <w:rPr>
          <w:rFonts w:hint="eastAsia" w:cs="仿宋_GB2312"/>
          <w:color w:val="auto"/>
          <w:szCs w:val="32"/>
          <w:lang w:val="en-US" w:eastAsia="zh-CN"/>
        </w:rPr>
      </w:pPr>
      <w:r>
        <w:rPr>
          <w:rFonts w:hint="eastAsia" w:cs="仿宋_GB2312"/>
          <w:color w:val="auto"/>
          <w:szCs w:val="32"/>
          <w:lang w:val="en-US" w:eastAsia="zh-CN"/>
        </w:rPr>
        <w:t>（6）社会保险系统等保需求</w:t>
      </w:r>
    </w:p>
    <w:p w14:paraId="69E40F54">
      <w:pPr>
        <w:ind w:left="0" w:leftChars="0" w:firstLine="640" w:firstLineChars="200"/>
        <w:rPr>
          <w:rFonts w:hint="eastAsia" w:cs="仿宋_GB2312"/>
          <w:szCs w:val="32"/>
          <w:lang w:val="en-US" w:eastAsia="zh-CN"/>
        </w:rPr>
      </w:pPr>
      <w:r>
        <w:rPr>
          <w:rFonts w:hint="eastAsia" w:cs="仿宋_GB2312"/>
          <w:szCs w:val="32"/>
          <w:lang w:val="en-US" w:eastAsia="zh-CN"/>
        </w:rPr>
        <w:t>本系统需依据《GB/T 39786-2021信息安全技术 信息系统密码应用基本要求》中等级保护第三级信息系统要求进行建设，符合密码应用建设要求。</w:t>
      </w:r>
    </w:p>
    <w:p w14:paraId="39B2E9EE">
      <w:pPr>
        <w:pStyle w:val="7"/>
        <w:numPr>
          <w:ilvl w:val="-1"/>
          <w:numId w:val="0"/>
        </w:numPr>
        <w:bidi w:val="0"/>
        <w:spacing w:beforeLines="-2147483648" w:afterLines="-2147483648"/>
        <w:ind w:left="0" w:firstLine="643" w:firstLineChars="200"/>
        <w:outlineLvl w:val="9"/>
        <w:rPr>
          <w:rFonts w:hint="eastAsia" w:ascii="仿宋_GB2312" w:hAnsi="仿宋_GB2312" w:eastAsia="仿宋_GB2312" w:cs="仿宋_GB2312"/>
          <w:b/>
          <w:color w:val="auto"/>
          <w:sz w:val="32"/>
          <w:szCs w:val="32"/>
          <w:lang w:val="en-US" w:eastAsia="zh-CN"/>
        </w:rPr>
      </w:pPr>
      <w:r>
        <w:rPr>
          <w:rFonts w:hint="eastAsia" w:cs="仿宋_GB2312"/>
          <w:b/>
          <w:color w:val="auto"/>
          <w:sz w:val="32"/>
          <w:szCs w:val="32"/>
          <w:lang w:val="en-US" w:eastAsia="zh-CN"/>
        </w:rPr>
        <w:t>（7）</w:t>
      </w:r>
      <w:r>
        <w:rPr>
          <w:rFonts w:hint="eastAsia" w:ascii="仿宋_GB2312" w:hAnsi="仿宋_GB2312" w:eastAsia="仿宋_GB2312" w:cs="仿宋_GB2312"/>
          <w:b/>
          <w:color w:val="auto"/>
          <w:sz w:val="32"/>
          <w:szCs w:val="32"/>
          <w:lang w:val="en-US" w:eastAsia="zh-CN"/>
        </w:rPr>
        <w:t>国产化终端适配需求</w:t>
      </w:r>
    </w:p>
    <w:p w14:paraId="41C64DB5">
      <w:pPr>
        <w:pStyle w:val="11"/>
        <w:rPr>
          <w:rFonts w:hint="eastAsia"/>
          <w:lang w:val="en-US" w:eastAsia="zh-CN"/>
        </w:rPr>
      </w:pPr>
      <w:r>
        <w:rPr>
          <w:rFonts w:hint="eastAsia"/>
          <w:lang w:val="en-US" w:eastAsia="zh-CN"/>
        </w:rPr>
        <w:t>现有系统均以完成国产化终端适配，为避免在系统改造过程后影响使用，需配套进行适配验证工作，根据人社部《人力资源社会保障行业应用信创建设指南》（人社网信函〔2024〕4号），包括浏览器适配、终端软件适配与外设适配，其中，外设包括高拍仪、读卡器、签字屏、扫描仪、摄像头、打印机等。</w:t>
      </w:r>
    </w:p>
    <w:p w14:paraId="2BF380DA">
      <w:pPr>
        <w:pStyle w:val="5"/>
        <w:bidi w:val="0"/>
        <w:rPr>
          <w:rFonts w:hint="default"/>
          <w:lang w:val="en-US" w:eastAsia="zh-CN"/>
        </w:rPr>
      </w:pPr>
      <w:r>
        <w:rPr>
          <w:rFonts w:hint="eastAsia"/>
          <w:lang w:val="en-US" w:eastAsia="zh-CN"/>
        </w:rPr>
        <w:t>数据服务需求</w:t>
      </w:r>
    </w:p>
    <w:p w14:paraId="0677BBD9">
      <w:pPr>
        <w:pStyle w:val="6"/>
        <w:numPr>
          <w:ilvl w:val="0"/>
          <w:numId w:val="15"/>
        </w:numPr>
        <w:ind w:left="640" w:leftChars="200" w:firstLine="0" w:firstLineChars="0"/>
        <w:rPr>
          <w:rFonts w:hint="eastAsia"/>
          <w:lang w:val="en-US" w:eastAsia="zh-CN"/>
        </w:rPr>
      </w:pPr>
      <w:r>
        <w:rPr>
          <w:rFonts w:hint="eastAsia"/>
          <w:lang w:val="en-US" w:eastAsia="zh-CN"/>
        </w:rPr>
        <w:t>数据清洗、转换</w:t>
      </w:r>
    </w:p>
    <w:p w14:paraId="7BAA55D2">
      <w:pPr>
        <w:pStyle w:val="6"/>
        <w:numPr>
          <w:ilvl w:val="-1"/>
          <w:numId w:val="0"/>
        </w:numPr>
        <w:ind w:left="640" w:leftChars="200" w:firstLine="0" w:firstLineChars="0"/>
        <w:rPr>
          <w:rFonts w:hint="eastAsia"/>
          <w:lang w:val="en-US" w:eastAsia="zh-CN"/>
        </w:rPr>
      </w:pPr>
      <w:r>
        <w:rPr>
          <w:rFonts w:hint="eastAsia"/>
          <w:lang w:val="en-US" w:eastAsia="zh-CN"/>
        </w:rPr>
        <w:t>（1）历史数据整理</w:t>
      </w:r>
    </w:p>
    <w:p w14:paraId="173323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按照养老保险全国统筹要求，已经完成了企业职工养老保险数据清洗转换工作。本次按照人社部新要求，对剩下的失业保险、工伤保险、城乡居民基本养老保险、机关事业单位养老保险（含职业年金）进行数据清洗转换工作。促进全国大管控工作的目标实现。构建社会保险基金监督中间库，实现生产数据的实时同步，保障基金监督数据规则核验要求。对现有工伤认定</w:t>
      </w:r>
      <w:r>
        <w:rPr>
          <w:rFonts w:hint="eastAsia" w:cs="仿宋_GB2312"/>
          <w:color w:val="auto"/>
          <w:sz w:val="32"/>
          <w:szCs w:val="32"/>
          <w:lang w:val="en-US" w:eastAsia="zh-CN"/>
        </w:rPr>
        <w:t>劳动能力</w:t>
      </w:r>
      <w:r>
        <w:rPr>
          <w:rFonts w:hint="eastAsia" w:ascii="仿宋_GB2312" w:hAnsi="仿宋_GB2312" w:eastAsia="仿宋_GB2312" w:cs="仿宋_GB2312"/>
          <w:color w:val="auto"/>
          <w:sz w:val="32"/>
          <w:szCs w:val="32"/>
          <w:lang w:val="en-US" w:eastAsia="zh-CN"/>
        </w:rPr>
        <w:t>鉴定系统数据进行清理、转换和迁移，与社会保险生产库数据进行整合。</w:t>
      </w:r>
    </w:p>
    <w:p w14:paraId="3BC518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人社部制定的《社会保险信息系统全险种业务中台数据库结构》《社会保险信息系统全险种业务中台数据库业务处理逻辑说明》，需按照全险种业务中台数据结构标准进行对照转换，确保数据完整性、准确性和一致性。参照全险种数据质量评价规则（部级下发），按照部级下发的数据校验工具，标记整改问题，数据质量检查校验点通过率需达到95%以上，数据质量检查数据条数通过率需达到95%。需通过部社保中心和部信息中心组织的数据质量评估验收。并实现中台业务数据库数据迁移至部级下发中台数据库。</w:t>
      </w:r>
    </w:p>
    <w:p w14:paraId="1B650DD7">
      <w:pPr>
        <w:pStyle w:val="8"/>
        <w:numPr>
          <w:ilvl w:val="-1"/>
          <w:numId w:val="0"/>
          <w:ins w:id="16" w:author="ysgz" w:date=""/>
        </w:numPr>
        <w:bidi w:val="0"/>
        <w:ind w:left="0" w:leftChars="0" w:firstLine="643" w:firstLineChars="200"/>
        <w:rPr>
          <w:rFonts w:hint="default"/>
          <w:lang w:val="en-US" w:eastAsia="zh-CN"/>
        </w:rPr>
      </w:pPr>
      <w:r>
        <w:rPr>
          <w:rFonts w:hint="eastAsia"/>
          <w:lang w:val="en-US" w:eastAsia="zh-CN"/>
        </w:rPr>
        <w:t>a.</w:t>
      </w:r>
      <w:r>
        <w:rPr>
          <w:rFonts w:hint="default"/>
          <w:lang w:val="en-US" w:eastAsia="zh-CN"/>
        </w:rPr>
        <w:t>数据转换标准需求</w:t>
      </w:r>
    </w:p>
    <w:p w14:paraId="6A222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数据结构对照转换：历史数据需严格依照全险种业务中台数据结构标准进行对照转换。在信息系统建设过程中，设计专门的数据转换模块或流程，确保历史数据从现有的存储格式和结构，精准转换为全险种业务中台所规定的数据结构。这要求对全险种业务中台数据结构有深入理解，明确每个数据项的定义、格式、长度以及相互之间的逻辑关系，从而实现历史数据的准确映射。</w:t>
      </w:r>
    </w:p>
    <w:p w14:paraId="25CF2A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确保数据特性：在数据转换过程以及后续的信息系统运行中，务必保证数据的完整性、准确性和一致性。要对历史数据进行全面梳理，检查是否存在缺失值或遗漏的记录。在信息系统设计时，设置数据完整性检查机制，例如在数据录入或转换环节，对必填字段进行强制校验，确保没有关键信息遗漏。对历史数据的内容进行核实，避免数据错误。可通过与可靠数据源进行比对、运用逻辑校验规则等方式，在信息系统中建立数据准确性验证流程，对转换后的数据进行自动校验，及时发现并纠正错误数据。保证同一数据在不同业务场景、不同模块以及不同时间的呈现和使用保持一致。在信息系统架构设计中，统一数据的存储和调用方式，避免因数据不一致导致的业务冲突或错误决策。</w:t>
      </w:r>
    </w:p>
    <w:p w14:paraId="78BF5200">
      <w:pPr>
        <w:pStyle w:val="8"/>
        <w:numPr>
          <w:ilvl w:val="-1"/>
          <w:numId w:val="0"/>
          <w:ins w:id="17" w:author="ysgz" w:date=""/>
        </w:numPr>
        <w:bidi w:val="0"/>
        <w:ind w:left="0" w:leftChars="0" w:firstLine="643" w:firstLineChars="200"/>
        <w:rPr>
          <w:rFonts w:hint="default"/>
          <w:lang w:val="en-US" w:eastAsia="zh-CN"/>
        </w:rPr>
      </w:pPr>
      <w:r>
        <w:rPr>
          <w:rFonts w:hint="eastAsia"/>
          <w:lang w:val="en-US" w:eastAsia="zh-CN"/>
        </w:rPr>
        <w:t>b.</w:t>
      </w:r>
      <w:r>
        <w:rPr>
          <w:rFonts w:hint="default"/>
          <w:lang w:val="en-US" w:eastAsia="zh-CN"/>
        </w:rPr>
        <w:t>数据校验与整改需求</w:t>
      </w:r>
    </w:p>
    <w:p w14:paraId="30F5C2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使用指定校验工具：按照部级下发的数据校验工具开展数据质量检查工作。在信息系统建设中，将该数据校验工具集成到系统的数据质量管理模块中，确保其能够与系统的其他功能模块顺畅交互。同时，为操作人员提供便捷的操作界面，方便其运用该工具对历史数据进行校验。</w:t>
      </w:r>
    </w:p>
    <w:p w14:paraId="0BC521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标记与整改问题：利用部级数据校验工具对历史数据进行检查后，系统要能够自动标记出存在问题的数据项或记录。在信息系统中设计问题跟踪与整改模块，将标记出的问题进行详细记录，包括问题描述、涉及的数据范围、可能影响的业务等信息。同时，为每个问题分配相应的处理责任人，跟踪整改进度，确保问题得到及时有效解决。</w:t>
      </w:r>
    </w:p>
    <w:p w14:paraId="40090F7D">
      <w:pPr>
        <w:pStyle w:val="8"/>
        <w:numPr>
          <w:ilvl w:val="-1"/>
          <w:numId w:val="0"/>
          <w:ins w:id="18" w:author="ysgz" w:date=""/>
        </w:numPr>
        <w:bidi w:val="0"/>
        <w:ind w:left="0" w:leftChars="0" w:firstLine="643" w:firstLineChars="200"/>
        <w:rPr>
          <w:rFonts w:hint="default"/>
          <w:lang w:val="en-US" w:eastAsia="zh-CN"/>
        </w:rPr>
      </w:pPr>
      <w:r>
        <w:rPr>
          <w:rFonts w:hint="eastAsia"/>
          <w:lang w:val="en-US" w:eastAsia="zh-CN"/>
        </w:rPr>
        <w:t>c.</w:t>
      </w:r>
      <w:r>
        <w:rPr>
          <w:rFonts w:hint="default"/>
          <w:lang w:val="en-US" w:eastAsia="zh-CN"/>
        </w:rPr>
        <w:t>数据质量指标需求</w:t>
      </w:r>
    </w:p>
    <w:p w14:paraId="7D7C78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校验点通过率：数据质量检查校验点通过率需达到95%以上。在信息系统建设时，对数据校验点进行详细规划和设计，明确每个校验点的检查内容和标准。在进行数据校验后，系统自动统计校验点的通过情况，并生成相应的报告。若通过率未达到要求，系统应提供详细的数据分析，帮助工作人员找出未通过校验点的原因，以便针对性地进行改进。</w:t>
      </w:r>
    </w:p>
    <w:p w14:paraId="22D19D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数据条数通过率：数据质量检查数据条数通过率需达到95%。在信息系统中，要能够准确统计参与校验的数据条数以及通过校验的数据条数。通过建立数据通过率统计机制，实时监控数据质量状况。当数据条数通过率不达标时，系统应具备数据筛选和分析功能，快速定位未通过校验的数据，协助工作人员进行处理，直至达到规定的通过率标准。</w:t>
      </w:r>
    </w:p>
    <w:p w14:paraId="75E0AF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关键人数偏差率控制：定期将系统中的参保人数、缴费人数、领取待遇人数等数据与统计年报数据进行自动比对。当偏差率接近或超出规定范围时，及时发出预警信息，提醒相关人员进行核实和调整，确保人数数据的准确性和一致性。</w:t>
      </w:r>
    </w:p>
    <w:p w14:paraId="38E0B451">
      <w:pPr>
        <w:pStyle w:val="8"/>
        <w:numPr>
          <w:ilvl w:val="-1"/>
          <w:numId w:val="0"/>
          <w:ins w:id="19" w:author="ysgz" w:date=""/>
        </w:numPr>
        <w:bidi w:val="0"/>
        <w:ind w:left="0" w:leftChars="0" w:firstLine="643" w:firstLineChars="200"/>
        <w:rPr>
          <w:rFonts w:hint="default"/>
          <w:lang w:val="en-US" w:eastAsia="zh-CN"/>
        </w:rPr>
      </w:pPr>
      <w:r>
        <w:rPr>
          <w:rFonts w:hint="eastAsia"/>
          <w:lang w:val="en-US" w:eastAsia="zh-CN"/>
        </w:rPr>
        <w:t>d.</w:t>
      </w:r>
      <w:r>
        <w:rPr>
          <w:rFonts w:hint="default"/>
          <w:lang w:val="en-US" w:eastAsia="zh-CN"/>
        </w:rPr>
        <w:t>数据质量评估需求</w:t>
      </w:r>
    </w:p>
    <w:p w14:paraId="359D28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建立内部预评估机制，定期对系统内的历史数据质量进行自我评估，提前发现可能存在的问题并加以整改。同时，确保系统能够按照评估要求，快速、准确地提供所需的数据和报告。</w:t>
      </w:r>
    </w:p>
    <w:p w14:paraId="33BBB3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积极配合部里组织的数据质量评估工作，以达到相关标准并顺利通过评估。</w:t>
      </w:r>
    </w:p>
    <w:p w14:paraId="54458073">
      <w:pPr>
        <w:pStyle w:val="8"/>
        <w:numPr>
          <w:ilvl w:val="-1"/>
          <w:numId w:val="0"/>
          <w:ins w:id="20" w:author="ysgz" w:date=""/>
        </w:numPr>
        <w:bidi w:val="0"/>
        <w:ind w:left="0" w:leftChars="0" w:firstLine="643" w:firstLineChars="200"/>
        <w:rPr>
          <w:rFonts w:hint="default"/>
          <w:lang w:val="en-US" w:eastAsia="zh-CN"/>
        </w:rPr>
      </w:pPr>
      <w:r>
        <w:rPr>
          <w:rFonts w:hint="eastAsia"/>
          <w:lang w:val="en-US" w:eastAsia="zh-CN"/>
        </w:rPr>
        <w:t>e.</w:t>
      </w:r>
      <w:r>
        <w:rPr>
          <w:rFonts w:hint="default"/>
          <w:lang w:val="en-US" w:eastAsia="zh-CN"/>
        </w:rPr>
        <w:t>历史数据转换需求</w:t>
      </w:r>
    </w:p>
    <w:p w14:paraId="5714A7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历史数据转换思路：为推进社保全险种业务“大管控”体系建立，将部省联动业务管控模式扩展至其他各险种。推进各地区之间的信息共享、协同办理和业务有效衔接，一是要实现社会保险基础信息的标准化，针对基础信息进行完整、规范、统一的数据转换，并有针对性</w:t>
      </w:r>
      <w:r>
        <w:rPr>
          <w:rFonts w:hint="eastAsia"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进行数据采集和电子化处理，特别是针对基础信息统一采集和转换。二是要实现社会保险各业务系统的数据整理和转换，确保各系统间的业务状态一致性，在转换过程中有针对性</w:t>
      </w:r>
      <w:r>
        <w:rPr>
          <w:rFonts w:hint="eastAsia" w:cs="仿宋_GB2312"/>
          <w:color w:val="auto"/>
          <w:sz w:val="32"/>
          <w:szCs w:val="32"/>
          <w:lang w:val="en-US" w:eastAsia="zh-CN"/>
        </w:rPr>
        <w:t>地</w:t>
      </w:r>
      <w:r>
        <w:rPr>
          <w:rFonts w:hint="default" w:ascii="仿宋_GB2312" w:hAnsi="仿宋_GB2312" w:eastAsia="仿宋_GB2312" w:cs="仿宋_GB2312"/>
          <w:color w:val="auto"/>
          <w:sz w:val="32"/>
          <w:szCs w:val="32"/>
          <w:lang w:val="en-US" w:eastAsia="zh-CN"/>
        </w:rPr>
        <w:t>进行数据补齐补记补实，提高数据质量。三是要实现原分散系统、分散数据的整合和转换，严格按照国家平台的标准数据结构进行转换设计，提高数据可共享程度。</w:t>
      </w:r>
    </w:p>
    <w:p w14:paraId="650DC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历史数据转换方法：按照数据指标规范，对业务系统数据进行转换，包含数据类型、数据长度、数据格式进行统一转换，并且对代码类型数据按照统一的指标代码标准进行转换。</w:t>
      </w:r>
    </w:p>
    <w:p w14:paraId="68E16092">
      <w:pPr>
        <w:pStyle w:val="8"/>
        <w:numPr>
          <w:ilvl w:val="-1"/>
          <w:numId w:val="0"/>
          <w:ins w:id="21" w:author="ysgz" w:date=""/>
        </w:numPr>
        <w:bidi w:val="0"/>
        <w:ind w:left="0" w:leftChars="0" w:firstLine="643" w:firstLineChars="200"/>
        <w:rPr>
          <w:rFonts w:hint="default"/>
          <w:lang w:val="en-US" w:eastAsia="zh-CN"/>
        </w:rPr>
      </w:pPr>
      <w:r>
        <w:rPr>
          <w:rFonts w:hint="eastAsia"/>
          <w:lang w:val="en-US" w:eastAsia="zh-CN"/>
        </w:rPr>
        <w:t>f.</w:t>
      </w:r>
      <w:r>
        <w:rPr>
          <w:rFonts w:hint="default"/>
          <w:lang w:val="en-US" w:eastAsia="zh-CN"/>
        </w:rPr>
        <w:t>历史数据转换过程需求</w:t>
      </w:r>
    </w:p>
    <w:p w14:paraId="05FF66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转换数据分级：采用数据分级过滤的方式对历史数据进行筛选，数据分级过滤就是把数据按照不同的数据级别分别进行转换。数据分为三个级别：废弃数据、待调整数据、可转换数据。废弃数据就是该部分数据的存在对系统资源造成浪费的数据，并且会影响以后系统的运行，比如重复的个人基本信息、重复的账户信息、重复缴费信息。待调整数据就是该部分数据严重影响新系统的运行，必须进行调整后，方可进行数据转换。可转换数据就是该部分数据不需做任何处理，基本满足数据转换的要求或者是该部分数据新系统建议调整，但是不影响系统的运行，可以等新系统运行后再调整。</w:t>
      </w:r>
    </w:p>
    <w:p w14:paraId="0C8741B9">
      <w:pPr>
        <w:pStyle w:val="7"/>
        <w:numPr>
          <w:ilvl w:val="-1"/>
          <w:numId w:val="0"/>
        </w:numPr>
        <w:ind w:left="640" w:leftChars="200" w:firstLine="0" w:firstLineChars="0"/>
        <w:rPr>
          <w:rFonts w:hint="default"/>
          <w:lang w:val="en-US" w:eastAsia="zh-CN"/>
        </w:rPr>
      </w:pPr>
      <w:r>
        <w:rPr>
          <w:rFonts w:hint="eastAsia"/>
          <w:lang w:val="en-US" w:eastAsia="zh-CN"/>
        </w:rPr>
        <w:t>（2）社会保险基础信息统一管理</w:t>
      </w:r>
    </w:p>
    <w:p w14:paraId="6B7216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Chars="200"/>
        <w:textAlignment w:val="auto"/>
        <w:rPr>
          <w:rFonts w:hint="default"/>
          <w:lang w:val="en-US" w:eastAsia="zh-CN"/>
        </w:rPr>
      </w:pPr>
      <w:r>
        <w:rPr>
          <w:rFonts w:hint="eastAsia"/>
          <w:lang w:val="en-US" w:eastAsia="zh-CN"/>
        </w:rPr>
        <w:t>根据人社部最新的部级下发全险种业务中台数据库库表结构、指标代码集和数据库表处理逻辑，对贵州省社会保险信息系统的数据库进行升级改造，实现最新部级下发全险种业务中台数据库表替换现有系统对应数据库表。需重点实现基础信息统一管理，实现全险种业务中台基础信息中心和登记变更中心数据库集中统一管理。通过人员表（AC01）和单位表（AB01）实现同一人或单位仅有一条有效数据，人员参保关系表（AC02）和单位参保情况表（AB02）同一编号同一险种（除工伤保险外）仅有一条有效参保关系，其他征缴、待遇等共用数据库表保证主键不冲突。</w:t>
      </w:r>
      <w:r>
        <w:rPr>
          <w:rFonts w:hint="default"/>
          <w:lang w:val="en-US" w:eastAsia="zh-CN"/>
        </w:rPr>
        <w:t>在全险种业务管控模式的系统建设中，为确保全国数据能够实时汇聚，以及业务风险在事中得到有效管控，省级层面的信息系统需达成全险种人员和单位基础信息的集中统一管理。</w:t>
      </w:r>
      <w:r>
        <w:rPr>
          <w:rFonts w:hint="eastAsia"/>
          <w:lang w:val="en-US" w:eastAsia="zh-CN"/>
        </w:rPr>
        <w:t>以上内容涉及社会保险三险合一信息系统、贵州省机关保及职业年金系统、贵州省社会保险网上服务系统等系统改造。</w:t>
      </w:r>
    </w:p>
    <w:p w14:paraId="1CD04218">
      <w:pPr>
        <w:pStyle w:val="8"/>
        <w:numPr>
          <w:ilvl w:val="-1"/>
          <w:numId w:val="0"/>
          <w:ins w:id="22" w:author="ysgz" w:date=""/>
        </w:numPr>
        <w:bidi w:val="0"/>
        <w:ind w:left="0" w:leftChars="0" w:firstLine="643" w:firstLineChars="200"/>
        <w:rPr>
          <w:rFonts w:hint="default"/>
          <w:lang w:val="en-US" w:eastAsia="zh-CN"/>
        </w:rPr>
      </w:pPr>
      <w:r>
        <w:rPr>
          <w:rFonts w:hint="eastAsia"/>
          <w:lang w:val="en-US" w:eastAsia="zh-CN"/>
        </w:rPr>
        <w:t>a.</w:t>
      </w:r>
      <w:r>
        <w:rPr>
          <w:rFonts w:hint="default"/>
          <w:lang w:val="en-US" w:eastAsia="zh-CN"/>
        </w:rPr>
        <w:t>人员与单位基础信息表设计</w:t>
      </w:r>
    </w:p>
    <w:p w14:paraId="3CC63780">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在系统数据库架构设计中，着重关注人员表（AC01）与单位表（AB01）。通过严谨的系统逻辑设定，确保在这两个核心表中，同一人或单位仅生成并留存一条有效数据记录。优化数据存储结构，避免数据冗余，更能在数据调用与处理过程中，保障信息的准确性与唯一性，为后续业务操作提供清晰、明确的基础数据支撑。</w:t>
      </w:r>
    </w:p>
    <w:p w14:paraId="0A887B2D">
      <w:pPr>
        <w:pStyle w:val="8"/>
        <w:numPr>
          <w:ilvl w:val="-1"/>
          <w:numId w:val="0"/>
          <w:ins w:id="23" w:author="ysgz" w:date=""/>
        </w:numPr>
        <w:bidi w:val="0"/>
        <w:ind w:left="0" w:leftChars="0" w:firstLine="643" w:firstLineChars="200"/>
        <w:rPr>
          <w:rFonts w:hint="default"/>
          <w:lang w:val="en-US" w:eastAsia="zh-CN"/>
        </w:rPr>
      </w:pPr>
      <w:r>
        <w:rPr>
          <w:rFonts w:hint="eastAsia"/>
          <w:lang w:val="en-US" w:eastAsia="zh-CN"/>
        </w:rPr>
        <w:t>b.</w:t>
      </w:r>
      <w:r>
        <w:rPr>
          <w:rFonts w:hint="default"/>
          <w:lang w:val="en-US" w:eastAsia="zh-CN"/>
        </w:rPr>
        <w:t>参保关系表规范</w:t>
      </w:r>
    </w:p>
    <w:p w14:paraId="390042D9">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针对人员参保关系（AC02）表与单位参保情况（AB02）表，系统需遵循特定规则进行设计与开发。除工伤保险外，对于同一编号且同一险种的情况，系统应严格限制，确保仅存在一条有效参保关系记录。这一设计旨在精准管理参保信息，避免因重复或冲突的参保记录引发业务混乱，确保在全险种业务管控下，参保信息的一致性与准确性，为业务风险的事中管控提供可靠的数据基础。</w:t>
      </w:r>
    </w:p>
    <w:p w14:paraId="092D1ED6">
      <w:pPr>
        <w:pStyle w:val="8"/>
        <w:numPr>
          <w:ilvl w:val="-1"/>
          <w:numId w:val="0"/>
          <w:ins w:id="24" w:author="ysgz" w:date=""/>
        </w:numPr>
        <w:bidi w:val="0"/>
        <w:ind w:left="0" w:leftChars="0" w:firstLine="643" w:firstLineChars="200"/>
        <w:rPr>
          <w:rFonts w:hint="default"/>
          <w:lang w:val="en-US" w:eastAsia="zh-CN"/>
        </w:rPr>
      </w:pPr>
      <w:r>
        <w:rPr>
          <w:rFonts w:hint="eastAsia"/>
          <w:lang w:val="en-US" w:eastAsia="zh-CN"/>
        </w:rPr>
        <w:t>c.</w:t>
      </w:r>
      <w:r>
        <w:rPr>
          <w:rFonts w:hint="default"/>
          <w:lang w:val="en-US" w:eastAsia="zh-CN"/>
        </w:rPr>
        <w:t>多险共用表主键管理</w:t>
      </w:r>
    </w:p>
    <w:p w14:paraId="12D701C1">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olor w:val="auto"/>
          <w:lang w:val="en-US" w:eastAsia="zh-CN"/>
        </w:rPr>
      </w:pPr>
      <w:r>
        <w:rPr>
          <w:rFonts w:hint="eastAsia" w:cs="仿宋_GB2312"/>
          <w:color w:val="auto"/>
          <w:sz w:val="32"/>
          <w:szCs w:val="32"/>
          <w:lang w:val="en-US" w:eastAsia="zh-CN"/>
        </w:rPr>
        <w:t>将企业职工养老保险、工伤保险、失业保险、城乡居民养老保险、机关事业单位养老保险</w:t>
      </w:r>
      <w:r>
        <w:rPr>
          <w:rFonts w:hint="default" w:ascii="仿宋_GB2312" w:hAnsi="仿宋_GB2312" w:eastAsia="仿宋_GB2312" w:cs="仿宋_GB2312"/>
          <w:color w:val="auto"/>
          <w:sz w:val="32"/>
          <w:szCs w:val="32"/>
          <w:lang w:val="en-US" w:eastAsia="zh-CN"/>
        </w:rPr>
        <w:t>等多个险种共用的数据库表</w:t>
      </w:r>
      <w:r>
        <w:rPr>
          <w:rFonts w:hint="eastAsia" w:cs="仿宋_GB2312"/>
          <w:color w:val="auto"/>
          <w:sz w:val="32"/>
          <w:szCs w:val="32"/>
          <w:lang w:val="en-US" w:eastAsia="zh-CN"/>
        </w:rPr>
        <w:t>重新</w:t>
      </w:r>
      <w:r>
        <w:rPr>
          <w:rFonts w:hint="default" w:ascii="仿宋_GB2312" w:hAnsi="仿宋_GB2312" w:eastAsia="仿宋_GB2312" w:cs="仿宋_GB2312"/>
          <w:color w:val="auto"/>
          <w:sz w:val="32"/>
          <w:szCs w:val="32"/>
          <w:lang w:val="en-US" w:eastAsia="zh-CN"/>
        </w:rPr>
        <w:t>设计，</w:t>
      </w:r>
      <w:r>
        <w:rPr>
          <w:rFonts w:hint="eastAsia" w:cs="仿宋_GB2312"/>
          <w:color w:val="auto"/>
          <w:sz w:val="32"/>
          <w:szCs w:val="32"/>
          <w:lang w:val="en-US" w:eastAsia="zh-CN"/>
        </w:rPr>
        <w:t>确保各系统之间数据库表</w:t>
      </w:r>
      <w:r>
        <w:rPr>
          <w:rFonts w:hint="default" w:ascii="仿宋_GB2312" w:hAnsi="仿宋_GB2312" w:eastAsia="仿宋_GB2312" w:cs="仿宋_GB2312"/>
          <w:color w:val="auto"/>
          <w:sz w:val="32"/>
          <w:szCs w:val="32"/>
          <w:lang w:val="en-US" w:eastAsia="zh-CN"/>
        </w:rPr>
        <w:t>主键的唯一性与不冲突性。主键作为数据库表中用于唯一标识每条记录的关键字段，其冲突可能导致数据错误、业务流程紊乱等严重问题。因此，在系统建设过程中，需通过科学合理的主键生成算法与校验机制，确保多险共用数据库表在数据交互与业务协同过程中的稳定性与准确性，从而有力支持全险种业务管控模式下全国数据的实时汇聚与业务的顺畅开展。</w:t>
      </w:r>
    </w:p>
    <w:p w14:paraId="483D1265">
      <w:pPr>
        <w:pStyle w:val="6"/>
        <w:numPr>
          <w:ilvl w:val="-1"/>
          <w:numId w:val="0"/>
        </w:numPr>
        <w:bidi w:val="0"/>
        <w:ind w:left="640" w:leftChars="200" w:firstLine="0" w:firstLineChars="0"/>
        <w:rPr>
          <w:rFonts w:hint="default"/>
          <w:lang w:val="en-US" w:eastAsia="zh-CN"/>
        </w:rPr>
      </w:pPr>
      <w:r>
        <w:rPr>
          <w:rFonts w:hint="eastAsia"/>
          <w:lang w:val="en-US" w:eastAsia="zh-CN"/>
        </w:rPr>
        <w:t>2.国产化改造及贵州省政务云平台数据迁移</w:t>
      </w:r>
    </w:p>
    <w:p w14:paraId="6682F96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strike w:val="0"/>
          <w:dstrike w:val="0"/>
          <w:color w:val="auto"/>
          <w:sz w:val="32"/>
          <w:szCs w:val="32"/>
          <w:lang w:val="en-US" w:eastAsia="zh-CN"/>
        </w:rPr>
        <w:t>数据迁移是国产化适配的重要环节</w:t>
      </w:r>
      <w:r>
        <w:rPr>
          <w:rFonts w:hint="eastAsia" w:cs="仿宋_GB2312"/>
          <w:strike w:val="0"/>
          <w:dstrike w:val="0"/>
          <w:color w:val="auto"/>
          <w:sz w:val="32"/>
          <w:szCs w:val="32"/>
          <w:lang w:val="en-US" w:eastAsia="zh-CN"/>
        </w:rPr>
        <w:t>，根据新国产数据库技术路线、特点</w:t>
      </w:r>
      <w:r>
        <w:rPr>
          <w:rFonts w:hint="eastAsia" w:ascii="仿宋_GB2312" w:hAnsi="仿宋_GB2312" w:eastAsia="仿宋_GB2312" w:cs="仿宋_GB2312"/>
          <w:strike w:val="0"/>
          <w:dstrike w:val="0"/>
          <w:color w:val="auto"/>
          <w:sz w:val="32"/>
          <w:szCs w:val="32"/>
          <w:lang w:val="en-US" w:eastAsia="zh-CN"/>
        </w:rPr>
        <w:t>，重点开展</w:t>
      </w:r>
      <w:r>
        <w:rPr>
          <w:rFonts w:hint="eastAsia" w:cs="仿宋_GB2312"/>
          <w:strike w:val="0"/>
          <w:dstrike w:val="0"/>
          <w:color w:val="auto"/>
          <w:sz w:val="32"/>
          <w:szCs w:val="32"/>
          <w:lang w:val="en-US" w:eastAsia="zh-CN"/>
        </w:rPr>
        <w:t>数据迁移工作</w:t>
      </w:r>
      <w:r>
        <w:rPr>
          <w:rFonts w:hint="eastAsia" w:ascii="仿宋_GB2312" w:hAnsi="仿宋_GB2312" w:eastAsia="仿宋_GB2312" w:cs="仿宋_GB2312"/>
          <w:strike w:val="0"/>
          <w:dstrike w:val="0"/>
          <w:color w:val="auto"/>
          <w:sz w:val="32"/>
          <w:szCs w:val="32"/>
          <w:lang w:val="en-US" w:eastAsia="zh-CN"/>
        </w:rPr>
        <w:t>工作，并在迁移后进行严格的测试，确保数据的完整性和一致性。</w:t>
      </w:r>
    </w:p>
    <w:p w14:paraId="177E51FA">
      <w:pPr>
        <w:pStyle w:val="7"/>
        <w:numPr>
          <w:ilvl w:val="0"/>
          <w:numId w:val="16"/>
        </w:numPr>
        <w:bidi w:val="0"/>
        <w:ind w:left="0" w:firstLine="643"/>
        <w:rPr>
          <w:rFonts w:hint="eastAsia"/>
          <w:lang w:val="en-US" w:eastAsia="zh-CN"/>
        </w:rPr>
      </w:pPr>
      <w:r>
        <w:rPr>
          <w:rFonts w:hint="eastAsia"/>
          <w:lang w:val="en-US" w:eastAsia="zh-CN"/>
        </w:rPr>
        <w:t>贵州省社会保险三险合一信息系统</w:t>
      </w:r>
    </w:p>
    <w:p w14:paraId="62DD8A12">
      <w:pPr>
        <w:pStyle w:val="8"/>
        <w:numPr>
          <w:ilvl w:val="-1"/>
          <w:numId w:val="0"/>
          <w:ins w:id="25" w:author="ysgz" w:date=""/>
        </w:numPr>
        <w:bidi w:val="0"/>
        <w:ind w:left="0" w:leftChars="0" w:firstLine="643" w:firstLineChars="200"/>
        <w:rPr>
          <w:rFonts w:hint="eastAsia"/>
          <w:lang w:val="en-US" w:eastAsia="zh-CN"/>
        </w:rPr>
      </w:pPr>
      <w:r>
        <w:rPr>
          <w:rFonts w:hint="eastAsia"/>
          <w:lang w:val="en-US" w:eastAsia="zh-CN"/>
        </w:rPr>
        <w:t>a.数据现状</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399"/>
        <w:gridCol w:w="1591"/>
        <w:gridCol w:w="1238"/>
        <w:gridCol w:w="4217"/>
      </w:tblGrid>
      <w:tr w14:paraId="7D0D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F8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27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系统名称</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B4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数据类型</w:t>
            </w:r>
          </w:p>
        </w:tc>
        <w:tc>
          <w:tcPr>
            <w:tcW w:w="30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431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数据资源详细情况</w:t>
            </w:r>
          </w:p>
        </w:tc>
      </w:tr>
      <w:tr w14:paraId="4B18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142B5ED3">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D7F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贵州省全民参保信息系统</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C40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D6A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6F56B8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2000GB，数据增量约2GB每月</w:t>
            </w:r>
          </w:p>
        </w:tc>
      </w:tr>
      <w:tr w14:paraId="5FE8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35F246E9">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53CE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05A7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ED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0F25ED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2TB</w:t>
            </w:r>
          </w:p>
        </w:tc>
      </w:tr>
      <w:tr w14:paraId="42B5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7F5A609F">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08A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贵州省社税共享交换平台</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ADC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F3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5B25F4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2000GB，数据增量约2GB每月</w:t>
            </w:r>
          </w:p>
        </w:tc>
      </w:tr>
      <w:tr w14:paraId="60F5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286C4031">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7932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FF30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8B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6D2523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2TB</w:t>
            </w:r>
          </w:p>
        </w:tc>
      </w:tr>
      <w:tr w14:paraId="78B9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1A2745B5">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tcBorders>
              <w:top w:val="nil"/>
              <w:left w:val="single" w:color="000000" w:sz="4" w:space="0"/>
              <w:bottom w:val="single" w:color="000000" w:sz="4" w:space="0"/>
              <w:right w:val="single" w:color="000000" w:sz="4" w:space="0"/>
            </w:tcBorders>
            <w:shd w:val="clear" w:color="auto" w:fill="auto"/>
            <w:vAlign w:val="center"/>
          </w:tcPr>
          <w:p w14:paraId="59D3B8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贵州省社会保险基金收支安全管理平台</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B70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D2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165568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3000GB，数据增量约1GB每天</w:t>
            </w:r>
          </w:p>
        </w:tc>
      </w:tr>
      <w:tr w14:paraId="0A59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5EA16811">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nil"/>
              <w:left w:val="single" w:color="000000" w:sz="4" w:space="0"/>
              <w:bottom w:val="single" w:color="000000" w:sz="4" w:space="0"/>
              <w:right w:val="single" w:color="000000" w:sz="4" w:space="0"/>
            </w:tcBorders>
            <w:shd w:val="clear" w:color="auto" w:fill="auto"/>
            <w:vAlign w:val="center"/>
          </w:tcPr>
          <w:p w14:paraId="5E94834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F45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DC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633060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3TB</w:t>
            </w:r>
          </w:p>
        </w:tc>
      </w:tr>
      <w:tr w14:paraId="2569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0B585231">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088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贵州省社保三险合一系统</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640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3E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08C5FE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CORE  33671GB，数据增量约50GB每天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EDGE     11GB，</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EXTEND  606GB，数据增量约0.5GB每天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TMP     239GB，</w:t>
            </w:r>
          </w:p>
        </w:tc>
      </w:tr>
      <w:tr w14:paraId="7286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542443F3">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D35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C317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2A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3928A3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43.7TB（33.7+10TB压缩数据） 增量约50GB每天</w:t>
            </w:r>
          </w:p>
        </w:tc>
      </w:tr>
      <w:tr w14:paraId="65FF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599B2D5C">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EDFF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AD5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BF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数据迁移窗口期</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7C1599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非工作日</w:t>
            </w:r>
          </w:p>
        </w:tc>
      </w:tr>
      <w:tr w14:paraId="4480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3C1743BE">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277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3F2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社保只读库结构化数据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02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784B69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CORE  33671GB，数据增量约50GB每天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EDGE     11GB，</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EXTEND  606GB，数据增量约0.5GB每天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TMP     239GB，</w:t>
            </w:r>
          </w:p>
        </w:tc>
      </w:tr>
      <w:tr w14:paraId="3230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744C7B8B">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9FD0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31E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AD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1E04FF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43.7TB（33.7+10TB压缩数据） 增量约50GB每天</w:t>
            </w:r>
          </w:p>
        </w:tc>
      </w:tr>
      <w:tr w14:paraId="4276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23CE6715">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D0EB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9A6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社保历史库、清洗库结构化数据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D0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70D570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数据库版本：11.2.0.4  12813GB数据量 每日增量约10MB</w:t>
            </w:r>
          </w:p>
        </w:tc>
      </w:tr>
      <w:tr w14:paraId="4189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4C631CDC">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CCA4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2C6A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D1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738F9C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12.5TB 增量约10MB每天</w:t>
            </w:r>
          </w:p>
        </w:tc>
      </w:tr>
      <w:tr w14:paraId="7DB8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5E396B7C">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BAFC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06E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社保测试库结构化数据</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FD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6400DA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CORE  31422GB，数据增量约829MB每天</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EDGE     11GB，</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EXTEND  285GB，</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TMP     239GB，</w:t>
            </w:r>
          </w:p>
        </w:tc>
      </w:tr>
      <w:tr w14:paraId="3CC6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nil"/>
              <w:right w:val="nil"/>
            </w:tcBorders>
            <w:shd w:val="clear" w:color="auto" w:fill="auto"/>
            <w:vAlign w:val="center"/>
          </w:tcPr>
          <w:p w14:paraId="7B18B7E5">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0610">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684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16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nil"/>
              <w:left w:val="nil"/>
              <w:bottom w:val="single" w:color="000000" w:sz="4" w:space="0"/>
              <w:right w:val="single" w:color="000000" w:sz="4" w:space="0"/>
            </w:tcBorders>
            <w:shd w:val="clear" w:color="auto" w:fill="auto"/>
            <w:noWrap/>
            <w:vAlign w:val="center"/>
          </w:tcPr>
          <w:p w14:paraId="26817A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32.5TB 每日增量约829MB;</w:t>
            </w:r>
          </w:p>
        </w:tc>
      </w:tr>
      <w:tr w14:paraId="640C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000000" w:sz="4" w:space="0"/>
              <w:left w:val="single" w:color="000000" w:sz="4" w:space="0"/>
              <w:bottom w:val="single" w:color="auto" w:sz="4" w:space="0"/>
              <w:right w:val="nil"/>
            </w:tcBorders>
            <w:shd w:val="clear" w:color="auto" w:fill="auto"/>
            <w:vAlign w:val="center"/>
          </w:tcPr>
          <w:p w14:paraId="4C026689">
            <w:pPr>
              <w:keepNext w:val="0"/>
              <w:keepLines w:val="0"/>
              <w:pageBreakBefore w:val="0"/>
              <w:widowControl/>
              <w:numPr>
                <w:ilvl w:val="0"/>
                <w:numId w:val="17"/>
              </w:numPr>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3AB394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4592FF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社保数据治理结构化数据</w:t>
            </w:r>
          </w:p>
        </w:tc>
        <w:tc>
          <w:tcPr>
            <w:tcW w:w="683" w:type="pct"/>
            <w:tcBorders>
              <w:top w:val="single" w:color="000000" w:sz="4" w:space="0"/>
              <w:left w:val="single" w:color="000000" w:sz="4" w:space="0"/>
              <w:bottom w:val="single" w:color="auto" w:sz="4" w:space="0"/>
              <w:right w:val="single" w:color="000000" w:sz="4" w:space="0"/>
            </w:tcBorders>
            <w:shd w:val="clear" w:color="auto" w:fill="auto"/>
            <w:vAlign w:val="center"/>
          </w:tcPr>
          <w:p w14:paraId="7D0CAE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6" w:type="pct"/>
            <w:tcBorders>
              <w:top w:val="single" w:color="000000" w:sz="4" w:space="0"/>
              <w:left w:val="nil"/>
              <w:bottom w:val="single" w:color="000000" w:sz="4" w:space="0"/>
              <w:right w:val="single" w:color="000000" w:sz="4" w:space="0"/>
            </w:tcBorders>
            <w:shd w:val="clear" w:color="auto" w:fill="auto"/>
            <w:vAlign w:val="center"/>
          </w:tcPr>
          <w:p w14:paraId="70D881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CORE  33671GB，数据增量约40GB每天</w:t>
            </w:r>
          </w:p>
        </w:tc>
      </w:tr>
      <w:tr w14:paraId="528B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5AF7097C">
            <w:pPr>
              <w:keepNext w:val="0"/>
              <w:keepLines w:val="0"/>
              <w:pageBreakBefore w:val="0"/>
              <w:widowControl/>
              <w:numPr>
                <w:ilvl w:val="0"/>
                <w:numId w:val="17"/>
              </w:numPr>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3734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E3D3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1C148C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53AE55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43.7TB 增量约40GB每天</w:t>
            </w:r>
          </w:p>
        </w:tc>
      </w:tr>
      <w:tr w14:paraId="07E7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20CFD523">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22CF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B092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非结构化数据</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6CE279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基本情况</w:t>
            </w:r>
          </w:p>
        </w:tc>
        <w:tc>
          <w:tcPr>
            <w:tcW w:w="2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7239D6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11698.48G</w:t>
            </w:r>
          </w:p>
        </w:tc>
      </w:tr>
      <w:tr w14:paraId="1A28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43421FD7">
            <w:pPr>
              <w:keepNext w:val="0"/>
              <w:keepLines w:val="0"/>
              <w:pageBreakBefore w:val="0"/>
              <w:widowControl/>
              <w:numPr>
                <w:ilvl w:val="0"/>
                <w:numId w:val="17"/>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C69E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8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057A9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宋体" w:eastAsia="仿宋_GB2312" w:cs="仿宋_GB2312"/>
                <w:i w:val="0"/>
                <w:iCs w:val="0"/>
                <w:color w:val="000000"/>
                <w:sz w:val="28"/>
                <w:szCs w:val="28"/>
                <w:u w:val="none"/>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14:paraId="60F0C8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6" w:type="pct"/>
            <w:tcBorders>
              <w:top w:val="single" w:color="000000" w:sz="4" w:space="0"/>
              <w:left w:val="single" w:color="auto" w:sz="4" w:space="0"/>
              <w:bottom w:val="single" w:color="000000" w:sz="4" w:space="0"/>
              <w:right w:val="single" w:color="000000" w:sz="4" w:space="0"/>
            </w:tcBorders>
            <w:shd w:val="clear" w:color="auto" w:fill="auto"/>
            <w:vAlign w:val="center"/>
          </w:tcPr>
          <w:p w14:paraId="0C8464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11.42TB</w:t>
            </w:r>
          </w:p>
        </w:tc>
      </w:tr>
    </w:tbl>
    <w:p w14:paraId="6B319FE6">
      <w:pPr>
        <w:pStyle w:val="8"/>
        <w:numPr>
          <w:ilvl w:val="-1"/>
          <w:numId w:val="0"/>
          <w:ins w:id="26" w:author="ysgz" w:date=""/>
        </w:numPr>
        <w:bidi w:val="0"/>
        <w:ind w:left="0" w:leftChars="0" w:firstLine="643" w:firstLineChars="200"/>
        <w:rPr>
          <w:rFonts w:hint="default"/>
          <w:lang w:val="en-US" w:eastAsia="zh-CN"/>
        </w:rPr>
      </w:pPr>
      <w:r>
        <w:rPr>
          <w:rFonts w:hint="eastAsia"/>
          <w:lang w:val="en-US" w:eastAsia="zh-CN"/>
        </w:rPr>
        <w:t>b.涉及工作量</w:t>
      </w:r>
    </w:p>
    <w:p w14:paraId="1B70623F">
      <w:p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为践行“记录一生、保障一生、服务一生”的服务理念，迁移内容包含社会保险制度启动至今的历史数据，预计需处理200亿条记录（截止2025年4月），其中，数据库最大表AC83已达67亿条（截止2025年4月）。</w:t>
      </w:r>
    </w:p>
    <w:p w14:paraId="3C67FB67">
      <w:pPr>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本次数据迁移工作涉及共计7个</w:t>
      </w:r>
      <w:r>
        <w:rPr>
          <w:rFonts w:hint="eastAsia" w:cs="仿宋_GB2312"/>
          <w:color w:val="auto"/>
          <w:sz w:val="32"/>
          <w:szCs w:val="32"/>
          <w:lang w:val="en-US" w:eastAsia="zh-CN"/>
        </w:rPr>
        <w:t>结构化</w:t>
      </w:r>
      <w:r>
        <w:rPr>
          <w:rFonts w:hint="eastAsia" w:ascii="仿宋_GB2312" w:hAnsi="仿宋_GB2312" w:eastAsia="仿宋_GB2312" w:cs="仿宋_GB2312"/>
          <w:color w:val="auto"/>
          <w:sz w:val="32"/>
          <w:szCs w:val="32"/>
          <w:lang w:val="en-US" w:eastAsia="zh-CN"/>
        </w:rPr>
        <w:t>数据库</w:t>
      </w:r>
      <w:r>
        <w:rPr>
          <w:rFonts w:hint="eastAsia" w:cs="仿宋_GB2312"/>
          <w:color w:val="auto"/>
          <w:sz w:val="32"/>
          <w:szCs w:val="32"/>
          <w:lang w:val="en-US" w:eastAsia="zh-CN"/>
        </w:rPr>
        <w:t>、1个非结构化数据库</w:t>
      </w:r>
      <w:r>
        <w:rPr>
          <w:rFonts w:hint="eastAsia" w:ascii="仿宋_GB2312" w:hAnsi="仿宋_GB2312" w:eastAsia="仿宋_GB2312" w:cs="仿宋_GB2312"/>
          <w:color w:val="auto"/>
          <w:sz w:val="32"/>
          <w:szCs w:val="32"/>
          <w:lang w:val="en-US" w:eastAsia="zh-CN"/>
        </w:rPr>
        <w:t>，需迁移结构化数据表7500余张表格，其中</w:t>
      </w:r>
      <w:r>
        <w:rPr>
          <w:rFonts w:hint="eastAsia" w:cs="仿宋_GB2312"/>
          <w:color w:val="auto"/>
          <w:sz w:val="32"/>
          <w:szCs w:val="32"/>
          <w:lang w:val="en-US" w:eastAsia="zh-CN"/>
        </w:rPr>
        <w:t>核心业务</w:t>
      </w:r>
      <w:r>
        <w:rPr>
          <w:rFonts w:hint="eastAsia" w:ascii="仿宋_GB2312" w:hAnsi="仿宋_GB2312" w:eastAsia="仿宋_GB2312" w:cs="仿宋_GB2312"/>
          <w:color w:val="auto"/>
          <w:sz w:val="32"/>
          <w:szCs w:val="32"/>
          <w:lang w:val="en-US" w:eastAsia="zh-CN"/>
        </w:rPr>
        <w:t>系统包含1200余张表格，中台200余张表格；数据共4个副本，每个副本数据量约为40T，其中单表最大数据量达9T。此外，还需迁移400余个视图，10余个触发器，100余个存储过程。</w:t>
      </w:r>
    </w:p>
    <w:p w14:paraId="7824EE1D">
      <w:pPr>
        <w:pStyle w:val="7"/>
        <w:numPr>
          <w:ilvl w:val="-1"/>
          <w:numId w:val="0"/>
        </w:numPr>
        <w:bidi w:val="0"/>
        <w:ind w:left="0" w:leftChars="0" w:firstLine="643" w:firstLineChars="200"/>
        <w:rPr>
          <w:rFonts w:hint="default"/>
          <w:lang w:val="en-US" w:eastAsia="zh-CN"/>
        </w:rPr>
      </w:pPr>
      <w:r>
        <w:rPr>
          <w:rFonts w:hint="eastAsia"/>
          <w:lang w:val="en-US" w:eastAsia="zh-CN"/>
        </w:rPr>
        <w:t>（2）贵州省机关保及职业年金系统</w:t>
      </w:r>
    </w:p>
    <w:p w14:paraId="1087963B">
      <w:pPr>
        <w:pStyle w:val="8"/>
        <w:numPr>
          <w:ilvl w:val="-1"/>
          <w:numId w:val="0"/>
          <w:ins w:id="27" w:author="ysgz" w:date=""/>
        </w:numPr>
        <w:bidi w:val="0"/>
        <w:ind w:left="0" w:leftChars="0" w:firstLine="643" w:firstLineChars="200"/>
        <w:rPr>
          <w:rFonts w:hint="eastAsia"/>
          <w:lang w:val="en-US" w:eastAsia="zh-CN"/>
        </w:rPr>
      </w:pPr>
      <w:r>
        <w:rPr>
          <w:rFonts w:hint="eastAsia"/>
          <w:lang w:val="en-US" w:eastAsia="zh-CN"/>
        </w:rPr>
        <w:t>a.数据现状</w:t>
      </w:r>
    </w:p>
    <w:p w14:paraId="34F492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系统现有数据包含系统登录账户数据、社保业务数据、业务经办数据、系统交互日志数据等，数据量为6000GB。</w:t>
      </w:r>
    </w:p>
    <w:p w14:paraId="44AB3212">
      <w:pPr>
        <w:pStyle w:val="8"/>
        <w:numPr>
          <w:ilvl w:val="-1"/>
          <w:numId w:val="0"/>
          <w:ins w:id="28" w:author="ysgz" w:date=""/>
        </w:numPr>
        <w:bidi w:val="0"/>
        <w:ind w:left="0" w:leftChars="0" w:firstLine="643" w:firstLineChars="200"/>
        <w:rPr>
          <w:rFonts w:hint="default"/>
          <w:lang w:val="en-US" w:eastAsia="zh-CN"/>
        </w:rPr>
      </w:pPr>
      <w:r>
        <w:rPr>
          <w:rFonts w:hint="eastAsia"/>
          <w:lang w:val="en-US" w:eastAsia="zh-CN"/>
        </w:rPr>
        <w:t>b.涉及工作量</w:t>
      </w:r>
    </w:p>
    <w:p w14:paraId="324A786C">
      <w:pPr>
        <w:ind w:left="0" w:leftChars="0" w:firstLine="640" w:firstLineChars="200"/>
        <w:rPr>
          <w:rFonts w:hint="eastAsia" w:ascii="仿宋_GB2312" w:eastAsia="仿宋_GB2312" w:hAnsiTheme="minorHAnsi"/>
          <w:sz w:val="32"/>
          <w:szCs w:val="32"/>
        </w:rPr>
      </w:pPr>
      <w:r>
        <w:rPr>
          <w:rFonts w:hint="eastAsia" w:ascii="仿宋_GB2312" w:eastAsia="仿宋_GB2312" w:hAnsiTheme="minorHAnsi"/>
          <w:sz w:val="32"/>
          <w:szCs w:val="32"/>
        </w:rPr>
        <w:t>本次数据迁移工作涉及共计49个</w:t>
      </w:r>
      <w:r>
        <w:rPr>
          <w:rFonts w:hint="eastAsia" w:hAnsiTheme="minorHAnsi"/>
          <w:sz w:val="32"/>
          <w:szCs w:val="32"/>
          <w:lang w:val="en-US" w:eastAsia="zh-CN"/>
        </w:rPr>
        <w:t>数据库</w:t>
      </w:r>
      <w:r>
        <w:rPr>
          <w:rFonts w:hint="eastAsia" w:ascii="仿宋_GB2312" w:eastAsia="仿宋_GB2312" w:hAnsiTheme="minorHAnsi"/>
          <w:sz w:val="32"/>
          <w:szCs w:val="32"/>
        </w:rPr>
        <w:t>用户，需迁移结构化数据表5000余张表格，合计数据量达7TB。</w:t>
      </w:r>
    </w:p>
    <w:p w14:paraId="5468011D">
      <w:pPr>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eastAsia="仿宋_GB2312" w:hAnsiTheme="minorHAnsi"/>
          <w:sz w:val="32"/>
          <w:szCs w:val="32"/>
        </w:rPr>
        <w:t>此外，还需迁移200余个视图，10余个触发器，20余个存储过程。迁移内容包含2014年10至今的历史数据。</w:t>
      </w:r>
    </w:p>
    <w:p w14:paraId="6FD0EE43">
      <w:pPr>
        <w:pStyle w:val="7"/>
        <w:numPr>
          <w:ilvl w:val="-1"/>
          <w:numId w:val="0"/>
        </w:numPr>
        <w:bidi w:val="0"/>
        <w:ind w:left="640" w:leftChars="200" w:firstLine="0" w:firstLineChars="0"/>
        <w:rPr>
          <w:rFonts w:hint="eastAsia"/>
          <w:lang w:val="en-US" w:eastAsia="zh-CN"/>
        </w:rPr>
      </w:pPr>
      <w:r>
        <w:rPr>
          <w:rFonts w:hint="eastAsia"/>
          <w:lang w:val="en-US" w:eastAsia="zh-CN"/>
        </w:rPr>
        <w:t>（3）贵州省社会保险网上服务系统</w:t>
      </w:r>
    </w:p>
    <w:p w14:paraId="0DEE92EC">
      <w:pPr>
        <w:pStyle w:val="8"/>
        <w:numPr>
          <w:ilvl w:val="-1"/>
          <w:numId w:val="0"/>
          <w:ins w:id="29" w:author="ysgz" w:date=""/>
        </w:numPr>
        <w:bidi w:val="0"/>
        <w:ind w:left="0" w:leftChars="0" w:firstLine="643" w:firstLineChars="200"/>
        <w:rPr>
          <w:rFonts w:hint="eastAsia"/>
          <w:lang w:val="en-US" w:eastAsia="zh-CN"/>
        </w:rPr>
      </w:pPr>
      <w:r>
        <w:rPr>
          <w:rFonts w:hint="eastAsia"/>
          <w:lang w:val="en-US" w:eastAsia="zh-CN"/>
        </w:rPr>
        <w:t>a.数据现状</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1399"/>
        <w:gridCol w:w="1591"/>
        <w:gridCol w:w="1238"/>
        <w:gridCol w:w="4218"/>
      </w:tblGrid>
      <w:tr w14:paraId="1D8B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7" w:type="pct"/>
            <w:shd w:val="clear" w:color="auto" w:fill="auto"/>
            <w:vAlign w:val="center"/>
          </w:tcPr>
          <w:p w14:paraId="069176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772" w:type="pct"/>
            <w:shd w:val="clear" w:color="auto" w:fill="auto"/>
            <w:vAlign w:val="center"/>
          </w:tcPr>
          <w:p w14:paraId="5D14D8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系统名称</w:t>
            </w:r>
          </w:p>
        </w:tc>
        <w:tc>
          <w:tcPr>
            <w:tcW w:w="878" w:type="pct"/>
            <w:shd w:val="clear" w:color="auto" w:fill="auto"/>
            <w:vAlign w:val="center"/>
          </w:tcPr>
          <w:p w14:paraId="22F392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数据类型</w:t>
            </w:r>
          </w:p>
        </w:tc>
        <w:tc>
          <w:tcPr>
            <w:tcW w:w="3011" w:type="pct"/>
            <w:gridSpan w:val="2"/>
            <w:shd w:val="clear" w:color="auto" w:fill="auto"/>
            <w:vAlign w:val="center"/>
          </w:tcPr>
          <w:p w14:paraId="19311F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数据资源详细情况</w:t>
            </w:r>
          </w:p>
        </w:tc>
      </w:tr>
      <w:tr w14:paraId="0375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37" w:type="pct"/>
            <w:shd w:val="clear" w:color="auto" w:fill="auto"/>
            <w:vAlign w:val="center"/>
          </w:tcPr>
          <w:p w14:paraId="6ED3C673">
            <w:pPr>
              <w:keepNext w:val="0"/>
              <w:keepLines w:val="0"/>
              <w:pageBreakBefore w:val="0"/>
              <w:widowControl/>
              <w:numPr>
                <w:ilvl w:val="0"/>
                <w:numId w:val="18"/>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restart"/>
            <w:shd w:val="clear" w:color="auto" w:fill="auto"/>
            <w:vAlign w:val="center"/>
          </w:tcPr>
          <w:p w14:paraId="1D8208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贵州省社会保险网上服务系统</w:t>
            </w:r>
          </w:p>
        </w:tc>
        <w:tc>
          <w:tcPr>
            <w:tcW w:w="878" w:type="pct"/>
            <w:vMerge w:val="restart"/>
            <w:shd w:val="clear" w:color="auto" w:fill="auto"/>
            <w:vAlign w:val="center"/>
          </w:tcPr>
          <w:p w14:paraId="7340E7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社保生产库结构化数据</w:t>
            </w:r>
          </w:p>
        </w:tc>
        <w:tc>
          <w:tcPr>
            <w:tcW w:w="683" w:type="pct"/>
            <w:shd w:val="clear" w:color="auto" w:fill="auto"/>
            <w:vAlign w:val="center"/>
          </w:tcPr>
          <w:p w14:paraId="39F776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基础情况</w:t>
            </w:r>
          </w:p>
        </w:tc>
        <w:tc>
          <w:tcPr>
            <w:tcW w:w="2328" w:type="pct"/>
            <w:shd w:val="clear" w:color="auto" w:fill="auto"/>
            <w:vAlign w:val="center"/>
          </w:tcPr>
          <w:p w14:paraId="70E0C5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700GB，数据增量约1GB/天</w:t>
            </w:r>
          </w:p>
        </w:tc>
      </w:tr>
      <w:tr w14:paraId="0DB7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7" w:type="pct"/>
            <w:shd w:val="clear" w:color="auto" w:fill="auto"/>
            <w:vAlign w:val="center"/>
          </w:tcPr>
          <w:p w14:paraId="130D546A">
            <w:pPr>
              <w:keepNext w:val="0"/>
              <w:keepLines w:val="0"/>
              <w:pageBreakBefore w:val="0"/>
              <w:widowControl/>
              <w:numPr>
                <w:ilvl w:val="0"/>
                <w:numId w:val="18"/>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仿宋_GB2312" w:hAnsi="宋体" w:eastAsia="仿宋_GB2312" w:cs="仿宋_GB2312"/>
                <w:i w:val="0"/>
                <w:iCs w:val="0"/>
                <w:color w:val="000000"/>
                <w:sz w:val="28"/>
                <w:szCs w:val="28"/>
                <w:u w:val="none"/>
              </w:rPr>
            </w:pPr>
          </w:p>
        </w:tc>
        <w:tc>
          <w:tcPr>
            <w:tcW w:w="772" w:type="pct"/>
            <w:vMerge w:val="continue"/>
            <w:shd w:val="clear" w:color="auto" w:fill="auto"/>
            <w:vAlign w:val="center"/>
          </w:tcPr>
          <w:p w14:paraId="4A891F9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宋体" w:eastAsia="仿宋_GB2312" w:cs="仿宋_GB2312"/>
                <w:i w:val="0"/>
                <w:iCs w:val="0"/>
                <w:color w:val="000000"/>
                <w:sz w:val="28"/>
                <w:szCs w:val="28"/>
                <w:u w:val="none"/>
              </w:rPr>
            </w:pPr>
          </w:p>
        </w:tc>
        <w:tc>
          <w:tcPr>
            <w:tcW w:w="878" w:type="pct"/>
            <w:vMerge w:val="continue"/>
            <w:shd w:val="clear" w:color="auto" w:fill="auto"/>
            <w:vAlign w:val="center"/>
          </w:tcPr>
          <w:p w14:paraId="6CC23F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宋体" w:eastAsia="仿宋_GB2312" w:cs="仿宋_GB2312"/>
                <w:i w:val="0"/>
                <w:iCs w:val="0"/>
                <w:color w:val="000000"/>
                <w:sz w:val="28"/>
                <w:szCs w:val="28"/>
                <w:u w:val="none"/>
              </w:rPr>
            </w:pPr>
          </w:p>
        </w:tc>
        <w:tc>
          <w:tcPr>
            <w:tcW w:w="683" w:type="pct"/>
            <w:shd w:val="clear" w:color="auto" w:fill="auto"/>
            <w:vAlign w:val="center"/>
          </w:tcPr>
          <w:p w14:paraId="0F68EE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数据量</w:t>
            </w:r>
          </w:p>
        </w:tc>
        <w:tc>
          <w:tcPr>
            <w:tcW w:w="2328" w:type="pct"/>
            <w:shd w:val="clear" w:color="auto" w:fill="auto"/>
            <w:vAlign w:val="center"/>
          </w:tcPr>
          <w:p w14:paraId="5ADAD5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0.7TB</w:t>
            </w:r>
          </w:p>
        </w:tc>
      </w:tr>
    </w:tbl>
    <w:p w14:paraId="3EE7AF0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trike w:val="0"/>
          <w:dstrike w:val="0"/>
          <w:color w:val="auto"/>
          <w:sz w:val="32"/>
          <w:szCs w:val="32"/>
          <w:lang w:val="en-US" w:eastAsia="zh-CN"/>
        </w:rPr>
      </w:pPr>
    </w:p>
    <w:p w14:paraId="2BC4D71F">
      <w:pPr>
        <w:pStyle w:val="8"/>
        <w:numPr>
          <w:ilvl w:val="-1"/>
          <w:numId w:val="0"/>
          <w:ins w:id="30" w:author="ysgz" w:date=""/>
        </w:numPr>
        <w:bidi w:val="0"/>
        <w:ind w:left="0" w:leftChars="0" w:firstLine="643" w:firstLineChars="200"/>
        <w:rPr>
          <w:rFonts w:hint="default"/>
          <w:lang w:val="en-US" w:eastAsia="zh-CN"/>
        </w:rPr>
      </w:pPr>
      <w:r>
        <w:rPr>
          <w:rFonts w:hint="eastAsia"/>
          <w:lang w:val="en-US" w:eastAsia="zh-CN"/>
        </w:rPr>
        <w:t>b.涉及工作量</w:t>
      </w:r>
    </w:p>
    <w:p w14:paraId="4DF3E450">
      <w:pPr>
        <w:rPr>
          <w:rFonts w:hint="default"/>
          <w:lang w:val="en-US" w:eastAsia="zh-CN"/>
        </w:rPr>
      </w:pPr>
      <w:r>
        <w:rPr>
          <w:rFonts w:hint="default"/>
          <w:lang w:val="en-US" w:eastAsia="zh-CN"/>
        </w:rPr>
        <w:t>本次数据迁移工作涉及1个数据库,4个用户，需迁移结构化数据表170余张，总计数据量0.7T。</w:t>
      </w:r>
    </w:p>
    <w:p w14:paraId="5C4E1415">
      <w:pPr>
        <w:pStyle w:val="7"/>
        <w:numPr>
          <w:ilvl w:val="-1"/>
          <w:numId w:val="0"/>
        </w:numPr>
        <w:bidi w:val="0"/>
        <w:ind w:left="640" w:leftChars="200" w:firstLine="0" w:firstLineChars="0"/>
        <w:rPr>
          <w:rFonts w:hint="eastAsia"/>
          <w:lang w:val="en-US" w:eastAsia="zh-CN"/>
        </w:rPr>
      </w:pPr>
      <w:r>
        <w:rPr>
          <w:rFonts w:hint="eastAsia"/>
          <w:lang w:val="en-US" w:eastAsia="zh-CN"/>
        </w:rPr>
        <w:t>（4）贵州省社保基金财务管理系统</w:t>
      </w:r>
    </w:p>
    <w:p w14:paraId="5701AB4E">
      <w:pPr>
        <w:pStyle w:val="8"/>
        <w:numPr>
          <w:ilvl w:val="-1"/>
          <w:numId w:val="0"/>
          <w:ins w:id="31" w:author="ysgz" w:date=""/>
        </w:numPr>
        <w:bidi w:val="0"/>
        <w:ind w:left="0" w:leftChars="0" w:firstLine="643" w:firstLineChars="200"/>
        <w:rPr>
          <w:rFonts w:hint="eastAsia"/>
          <w:lang w:val="en-US" w:eastAsia="zh-CN"/>
        </w:rPr>
      </w:pPr>
      <w:r>
        <w:rPr>
          <w:rFonts w:hint="eastAsia"/>
          <w:lang w:val="en-US" w:eastAsia="zh-CN"/>
        </w:rPr>
        <w:t>a.数据现状</w:t>
      </w:r>
    </w:p>
    <w:p w14:paraId="4B274D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单位存量数据分为基金财务报表和基金财务数据两部分。</w:t>
      </w:r>
    </w:p>
    <w:p w14:paraId="507DB1D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其中基金财务数据包含：33个业务年度（1993-2025）、121家单位、763个账套、数据大小340G等。</w:t>
      </w:r>
    </w:p>
    <w:p w14:paraId="3BBFC3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基金财务报表数据包含：金保一期历史数据，包含15个业务年度（2009-2023），109家单位，包含月报，季报，年报，预算等数据，数据大小450G左右。金保一期数据迁移的范围由部中心金保一期迁移至本地金保二期系统，金保二期系统是目前全省社保经办机构统一使用的报表填报系统，因此，迁移至金保二期报表系统有利于全省查询和填报各类报表数据。</w:t>
      </w:r>
    </w:p>
    <w:p w14:paraId="2B4AEC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金保二期数据：金保二期系统是目前全省社保经办机构统一使用的报表填报系统，包含2023年至今3个业务年度数据，109家单位，包含月报，季报，年报，预算等其他资料数据，数据大小100G左右。</w:t>
      </w:r>
    </w:p>
    <w:p w14:paraId="32D75FEA">
      <w:pPr>
        <w:pStyle w:val="8"/>
        <w:numPr>
          <w:ilvl w:val="-1"/>
          <w:numId w:val="0"/>
          <w:ins w:id="32" w:author="ysgz" w:date=""/>
        </w:numPr>
        <w:bidi w:val="0"/>
        <w:ind w:left="0" w:leftChars="0" w:firstLine="643" w:firstLineChars="200"/>
        <w:rPr>
          <w:rFonts w:hint="default"/>
          <w:lang w:val="en-US" w:eastAsia="zh-CN"/>
        </w:rPr>
      </w:pPr>
      <w:r>
        <w:rPr>
          <w:rFonts w:hint="eastAsia"/>
          <w:lang w:val="en-US" w:eastAsia="zh-CN"/>
        </w:rPr>
        <w:t>b.涉及工作量</w:t>
      </w:r>
    </w:p>
    <w:p w14:paraId="5BE801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基金财务数据迁移：对33个业务年度的财务数据迁移至国产化环境中，迁移内部包括121家单位、763个账套。</w:t>
      </w:r>
    </w:p>
    <w:p w14:paraId="1B0886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金保一期数据迁移：对15个业务年度的数据迁移至金保二期中，迁移内容包括月报，季报，年报，预算等数据。</w:t>
      </w:r>
    </w:p>
    <w:p w14:paraId="57EFB5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财务报表数据迁移：对18个业务年度的财务报表数据进行迁移，迁移内容包括月报，季报，年报，预算等数据。</w:t>
      </w:r>
    </w:p>
    <w:p w14:paraId="0B53C83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lang w:eastAsia="zh-CN"/>
        </w:rPr>
      </w:pPr>
      <w:r>
        <w:rPr>
          <w:rFonts w:hint="eastAsia"/>
          <w:lang w:eastAsia="zh-CN"/>
        </w:rPr>
        <w:t>性能及部署需求</w:t>
      </w:r>
    </w:p>
    <w:p w14:paraId="06470A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本项目部署在</w:t>
      </w:r>
      <w:r>
        <w:rPr>
          <w:rFonts w:hint="eastAsia" w:cs="仿宋_GB2312"/>
          <w:color w:val="auto"/>
          <w:sz w:val="32"/>
          <w:szCs w:val="32"/>
          <w:lang w:val="en-US" w:eastAsia="zh-CN"/>
        </w:rPr>
        <w:t>贵州省政务云平台</w:t>
      </w:r>
      <w:r>
        <w:rPr>
          <w:rFonts w:hint="eastAsia" w:ascii="仿宋_GB2312" w:hAnsi="仿宋_GB2312" w:eastAsia="仿宋_GB2312" w:cs="仿宋_GB2312"/>
          <w:color w:val="auto"/>
          <w:sz w:val="32"/>
          <w:szCs w:val="32"/>
          <w:lang w:val="en-US" w:eastAsia="zh-CN"/>
        </w:rPr>
        <w:t>系统平台。</w:t>
      </w:r>
    </w:p>
    <w:p w14:paraId="3A3FA2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1.交互类业务。交互类业务是指平时工作中在系统中进行的业务处理，如录入、修改或删除一条记录、发布一条信息等操作。平均响应时间&lt;1秒；峰值响应时间&lt;2秒。</w:t>
      </w:r>
    </w:p>
    <w:p w14:paraId="7E2E25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批处理业务（&lt;1万条）处理时间≤5分钟，大批量业务（&lt;10万条）处理时间≤1小时；超大批量业务（&lt;100万条）处理时间≤6小时。</w:t>
      </w:r>
    </w:p>
    <w:p w14:paraId="547B891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1"/>
        <w:rPr>
          <w:rFonts w:hint="eastAsia"/>
          <w:lang w:eastAsia="zh-CN"/>
        </w:rPr>
      </w:pPr>
      <w:r>
        <w:rPr>
          <w:rFonts w:hint="eastAsia"/>
          <w:lang w:eastAsia="zh-CN"/>
        </w:rPr>
        <w:t>数据需求</w:t>
      </w:r>
    </w:p>
    <w:p w14:paraId="65B95EBF">
      <w:pPr>
        <w:pStyle w:val="6"/>
        <w:numPr>
          <w:ilvl w:val="-1"/>
          <w:numId w:val="0"/>
        </w:numPr>
        <w:ind w:firstLine="643" w:firstLineChars="200"/>
        <w:rPr>
          <w:rFonts w:hint="default"/>
          <w:lang w:val="en-US" w:eastAsia="zh-CN"/>
        </w:rPr>
      </w:pPr>
      <w:r>
        <w:rPr>
          <w:rFonts w:hint="eastAsia"/>
          <w:lang w:val="en-US" w:eastAsia="zh-CN"/>
        </w:rPr>
        <w:t>1.</w:t>
      </w:r>
      <w:r>
        <w:rPr>
          <w:rFonts w:hint="default"/>
          <w:lang w:val="en-US" w:eastAsia="zh-CN"/>
        </w:rPr>
        <w:t>所需使用其他系统数据</w:t>
      </w:r>
    </w:p>
    <w:tbl>
      <w:tblPr>
        <w:tblStyle w:val="15"/>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911"/>
        <w:gridCol w:w="1287"/>
        <w:gridCol w:w="2269"/>
        <w:gridCol w:w="1713"/>
        <w:gridCol w:w="1959"/>
        <w:gridCol w:w="917"/>
      </w:tblGrid>
      <w:tr w14:paraId="6ABF6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503" w:type="pct"/>
            <w:tcBorders>
              <w:tl2br w:val="nil"/>
              <w:tr2bl w:val="nil"/>
            </w:tcBorders>
            <w:shd w:val="clear" w:color="auto" w:fill="D9D9D9"/>
            <w:vAlign w:val="center"/>
          </w:tcPr>
          <w:p w14:paraId="49965606">
            <w:pPr>
              <w:pStyle w:val="6"/>
              <w:numPr>
                <w:ilvl w:val="0"/>
                <w:numId w:val="0"/>
                <w:ins w:id="33"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序号</w:t>
            </w:r>
          </w:p>
        </w:tc>
        <w:tc>
          <w:tcPr>
            <w:tcW w:w="710" w:type="pct"/>
            <w:tcBorders>
              <w:tl2br w:val="nil"/>
              <w:tr2bl w:val="nil"/>
            </w:tcBorders>
            <w:shd w:val="clear" w:color="auto" w:fill="D9D9D9"/>
            <w:vAlign w:val="center"/>
          </w:tcPr>
          <w:p w14:paraId="2D92C60D">
            <w:pPr>
              <w:pStyle w:val="6"/>
              <w:numPr>
                <w:ilvl w:val="0"/>
                <w:numId w:val="0"/>
                <w:ins w:id="34"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信息分类</w:t>
            </w:r>
          </w:p>
        </w:tc>
        <w:tc>
          <w:tcPr>
            <w:tcW w:w="1252" w:type="pct"/>
            <w:tcBorders>
              <w:tl2br w:val="nil"/>
              <w:tr2bl w:val="nil"/>
            </w:tcBorders>
            <w:shd w:val="clear" w:color="auto" w:fill="D9D9D9"/>
            <w:vAlign w:val="center"/>
          </w:tcPr>
          <w:p w14:paraId="001383CF">
            <w:pPr>
              <w:pStyle w:val="6"/>
              <w:numPr>
                <w:ilvl w:val="0"/>
                <w:numId w:val="0"/>
                <w:ins w:id="35"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信息项名称</w:t>
            </w:r>
          </w:p>
        </w:tc>
        <w:tc>
          <w:tcPr>
            <w:tcW w:w="945" w:type="pct"/>
            <w:tcBorders>
              <w:tl2br w:val="nil"/>
              <w:tr2bl w:val="nil"/>
            </w:tcBorders>
            <w:shd w:val="clear" w:color="auto" w:fill="D9D9D9"/>
            <w:vAlign w:val="center"/>
          </w:tcPr>
          <w:p w14:paraId="234FB6FD">
            <w:pPr>
              <w:pStyle w:val="6"/>
              <w:numPr>
                <w:ilvl w:val="0"/>
                <w:numId w:val="0"/>
                <w:ins w:id="36"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信息提供系统</w:t>
            </w:r>
          </w:p>
        </w:tc>
        <w:tc>
          <w:tcPr>
            <w:tcW w:w="1081" w:type="pct"/>
            <w:tcBorders>
              <w:tl2br w:val="nil"/>
              <w:tr2bl w:val="nil"/>
            </w:tcBorders>
            <w:shd w:val="clear" w:color="auto" w:fill="D9D9D9"/>
            <w:vAlign w:val="center"/>
          </w:tcPr>
          <w:p w14:paraId="7E7EAFD4">
            <w:pPr>
              <w:pStyle w:val="6"/>
              <w:numPr>
                <w:ilvl w:val="0"/>
                <w:numId w:val="0"/>
                <w:ins w:id="37"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获取方式</w:t>
            </w:r>
          </w:p>
        </w:tc>
        <w:tc>
          <w:tcPr>
            <w:tcW w:w="506" w:type="pct"/>
            <w:tcBorders>
              <w:tl2br w:val="nil"/>
              <w:tr2bl w:val="nil"/>
            </w:tcBorders>
            <w:shd w:val="clear" w:color="auto" w:fill="D9D9D9"/>
            <w:vAlign w:val="center"/>
          </w:tcPr>
          <w:p w14:paraId="06557D43">
            <w:pPr>
              <w:pStyle w:val="6"/>
              <w:numPr>
                <w:ilvl w:val="0"/>
                <w:numId w:val="0"/>
                <w:ins w:id="38" w:author="溪云" w:date="2025-04-23T10:26:56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数据更新频率</w:t>
            </w:r>
          </w:p>
        </w:tc>
      </w:tr>
      <w:tr w14:paraId="2B87E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16A22538">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restart"/>
            <w:tcBorders>
              <w:tl2br w:val="nil"/>
              <w:tr2bl w:val="nil"/>
            </w:tcBorders>
            <w:shd w:val="clear" w:color="auto" w:fill="auto"/>
            <w:vAlign w:val="center"/>
          </w:tcPr>
          <w:p w14:paraId="062104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基础信息</w:t>
            </w:r>
          </w:p>
        </w:tc>
        <w:tc>
          <w:tcPr>
            <w:tcW w:w="1252" w:type="pct"/>
            <w:tcBorders>
              <w:tl2br w:val="nil"/>
              <w:tr2bl w:val="nil"/>
            </w:tcBorders>
            <w:shd w:val="clear" w:color="auto" w:fill="auto"/>
            <w:vAlign w:val="center"/>
          </w:tcPr>
          <w:p w14:paraId="4996290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平台企业信息推送</w:t>
            </w:r>
          </w:p>
        </w:tc>
        <w:tc>
          <w:tcPr>
            <w:tcW w:w="945" w:type="pct"/>
            <w:tcBorders>
              <w:tl2br w:val="nil"/>
              <w:tr2bl w:val="nil"/>
            </w:tcBorders>
            <w:shd w:val="clear" w:color="auto" w:fill="auto"/>
            <w:vAlign w:val="center"/>
          </w:tcPr>
          <w:p w14:paraId="0323C90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14:paraId="4EE15AE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14:paraId="496F453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14:paraId="35056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0D94301F">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14:paraId="38BE4C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14:paraId="20FEC316">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平台企业变更信息推送</w:t>
            </w:r>
          </w:p>
        </w:tc>
        <w:tc>
          <w:tcPr>
            <w:tcW w:w="945" w:type="pct"/>
            <w:tcBorders>
              <w:tl2br w:val="nil"/>
              <w:tr2bl w:val="nil"/>
            </w:tcBorders>
            <w:shd w:val="clear" w:color="auto" w:fill="auto"/>
            <w:vAlign w:val="center"/>
          </w:tcPr>
          <w:p w14:paraId="51710F23">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14:paraId="6D08699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14:paraId="41FDAD2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14:paraId="737FA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2BB674D2">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14:paraId="7254EA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14:paraId="20C84E6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平台企业注销信息推送</w:t>
            </w:r>
          </w:p>
        </w:tc>
        <w:tc>
          <w:tcPr>
            <w:tcW w:w="945" w:type="pct"/>
            <w:tcBorders>
              <w:tl2br w:val="nil"/>
              <w:tr2bl w:val="nil"/>
            </w:tcBorders>
            <w:shd w:val="clear" w:color="auto" w:fill="auto"/>
            <w:vAlign w:val="center"/>
          </w:tcPr>
          <w:p w14:paraId="1A1A217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14:paraId="09325027">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14:paraId="6103F3B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14:paraId="0CF78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23E351A4">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14:paraId="0D3BC2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14:paraId="583F442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平台服务机构信息推送</w:t>
            </w:r>
          </w:p>
        </w:tc>
        <w:tc>
          <w:tcPr>
            <w:tcW w:w="945" w:type="pct"/>
            <w:tcBorders>
              <w:tl2br w:val="nil"/>
              <w:tr2bl w:val="nil"/>
            </w:tcBorders>
            <w:shd w:val="clear" w:color="auto" w:fill="auto"/>
            <w:vAlign w:val="center"/>
          </w:tcPr>
          <w:p w14:paraId="73DCCD5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14:paraId="42A60B9E">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14:paraId="2A78511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14:paraId="733A3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4BE1DF42">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14:paraId="133F56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14:paraId="145CF43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平台服务机构信息变更推送</w:t>
            </w:r>
          </w:p>
        </w:tc>
        <w:tc>
          <w:tcPr>
            <w:tcW w:w="945" w:type="pct"/>
            <w:tcBorders>
              <w:tl2br w:val="nil"/>
              <w:tr2bl w:val="nil"/>
            </w:tcBorders>
            <w:shd w:val="clear" w:color="auto" w:fill="auto"/>
            <w:vAlign w:val="center"/>
          </w:tcPr>
          <w:p w14:paraId="2B1B691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14:paraId="2076CDB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14:paraId="1348488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14:paraId="356FC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197C32D0">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14:paraId="5F938C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14:paraId="7F35FD4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平台服务机构注销信息推送</w:t>
            </w:r>
          </w:p>
        </w:tc>
        <w:tc>
          <w:tcPr>
            <w:tcW w:w="945" w:type="pct"/>
            <w:tcBorders>
              <w:tl2br w:val="nil"/>
              <w:tr2bl w:val="nil"/>
            </w:tcBorders>
            <w:shd w:val="clear" w:color="auto" w:fill="auto"/>
            <w:vAlign w:val="center"/>
          </w:tcPr>
          <w:p w14:paraId="6678C91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14:paraId="7E69587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14:paraId="069F5903">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14:paraId="1703B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5193E88E">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restart"/>
            <w:tcBorders>
              <w:tl2br w:val="nil"/>
              <w:tr2bl w:val="nil"/>
            </w:tcBorders>
            <w:shd w:val="clear" w:color="auto" w:fill="auto"/>
            <w:vAlign w:val="center"/>
          </w:tcPr>
          <w:p w14:paraId="65BC29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订单归集管理</w:t>
            </w:r>
          </w:p>
        </w:tc>
        <w:tc>
          <w:tcPr>
            <w:tcW w:w="1252" w:type="pct"/>
            <w:tcBorders>
              <w:tl2br w:val="nil"/>
              <w:tr2bl w:val="nil"/>
            </w:tcBorders>
            <w:shd w:val="clear" w:color="auto" w:fill="auto"/>
            <w:vAlign w:val="center"/>
          </w:tcPr>
          <w:p w14:paraId="49ED9EF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接单数据查询</w:t>
            </w:r>
          </w:p>
        </w:tc>
        <w:tc>
          <w:tcPr>
            <w:tcW w:w="945" w:type="pct"/>
            <w:tcBorders>
              <w:tl2br w:val="nil"/>
              <w:tr2bl w:val="nil"/>
            </w:tcBorders>
            <w:shd w:val="clear" w:color="auto" w:fill="auto"/>
            <w:vAlign w:val="center"/>
          </w:tcPr>
          <w:p w14:paraId="513469E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14:paraId="2D45795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14:paraId="22C3AA3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实时</w:t>
            </w:r>
          </w:p>
        </w:tc>
      </w:tr>
      <w:tr w14:paraId="32B82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361EC944">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14:paraId="03F20A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14:paraId="09F3364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lang w:eastAsia="zh-Hans"/>
              </w:rPr>
              <w:t>日订单信息对账</w:t>
            </w:r>
          </w:p>
        </w:tc>
        <w:tc>
          <w:tcPr>
            <w:tcW w:w="945" w:type="pct"/>
            <w:tcBorders>
              <w:tl2br w:val="nil"/>
              <w:tr2bl w:val="nil"/>
            </w:tcBorders>
            <w:shd w:val="clear" w:color="auto" w:fill="auto"/>
            <w:vAlign w:val="center"/>
          </w:tcPr>
          <w:p w14:paraId="415CE966">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14:paraId="2DE9A3A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14:paraId="590AD57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实时</w:t>
            </w:r>
          </w:p>
        </w:tc>
      </w:tr>
      <w:tr w14:paraId="2D117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756A2C6D">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14:paraId="5A7D21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14:paraId="350C7B5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lang w:eastAsia="zh-Hans"/>
              </w:rPr>
              <w:t>月订单信息对账</w:t>
            </w:r>
          </w:p>
        </w:tc>
        <w:tc>
          <w:tcPr>
            <w:tcW w:w="945" w:type="pct"/>
            <w:tcBorders>
              <w:tl2br w:val="nil"/>
              <w:tr2bl w:val="nil"/>
            </w:tcBorders>
            <w:shd w:val="clear" w:color="auto" w:fill="auto"/>
            <w:vAlign w:val="center"/>
          </w:tcPr>
          <w:p w14:paraId="4C52958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14:paraId="691E6F1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14:paraId="69B4EE1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实时</w:t>
            </w:r>
          </w:p>
        </w:tc>
      </w:tr>
      <w:tr w14:paraId="42431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734AB9B6">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tcBorders>
              <w:tl2br w:val="nil"/>
              <w:tr2bl w:val="nil"/>
            </w:tcBorders>
            <w:shd w:val="clear" w:color="auto" w:fill="auto"/>
            <w:vAlign w:val="center"/>
          </w:tcPr>
          <w:p w14:paraId="2E9A73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缴费管理</w:t>
            </w:r>
          </w:p>
        </w:tc>
        <w:tc>
          <w:tcPr>
            <w:tcW w:w="1252" w:type="pct"/>
            <w:tcBorders>
              <w:tl2br w:val="nil"/>
              <w:tr2bl w:val="nil"/>
            </w:tcBorders>
            <w:shd w:val="clear" w:color="auto" w:fill="auto"/>
            <w:vAlign w:val="center"/>
          </w:tcPr>
          <w:p w14:paraId="6BBEB9F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缴费标准报送</w:t>
            </w:r>
          </w:p>
        </w:tc>
        <w:tc>
          <w:tcPr>
            <w:tcW w:w="945" w:type="pct"/>
            <w:tcBorders>
              <w:tl2br w:val="nil"/>
              <w:tr2bl w:val="nil"/>
            </w:tcBorders>
            <w:shd w:val="clear" w:color="auto" w:fill="auto"/>
            <w:vAlign w:val="center"/>
          </w:tcPr>
          <w:p w14:paraId="16426FE3">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14:paraId="11A4196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14:paraId="0793889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实时</w:t>
            </w:r>
          </w:p>
        </w:tc>
      </w:tr>
      <w:tr w14:paraId="478AA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vMerge w:val="restart"/>
            <w:tcBorders>
              <w:tl2br w:val="nil"/>
              <w:tr2bl w:val="nil"/>
            </w:tcBorders>
            <w:shd w:val="clear" w:color="auto" w:fill="auto"/>
            <w:vAlign w:val="center"/>
          </w:tcPr>
          <w:p w14:paraId="48AA7A8B">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restart"/>
            <w:tcBorders>
              <w:tl2br w:val="nil"/>
              <w:tr2bl w:val="nil"/>
            </w:tcBorders>
            <w:shd w:val="clear" w:color="auto" w:fill="auto"/>
            <w:vAlign w:val="center"/>
          </w:tcPr>
          <w:p w14:paraId="7BE35E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劳动能力鉴定</w:t>
            </w:r>
          </w:p>
        </w:tc>
        <w:tc>
          <w:tcPr>
            <w:tcW w:w="1252" w:type="pct"/>
            <w:tcBorders>
              <w:tl2br w:val="nil"/>
              <w:tr2bl w:val="nil"/>
            </w:tcBorders>
            <w:shd w:val="clear" w:color="auto" w:fill="auto"/>
            <w:vAlign w:val="center"/>
          </w:tcPr>
          <w:p w14:paraId="4E0A6CD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鉴定结论报送</w:t>
            </w:r>
          </w:p>
        </w:tc>
        <w:tc>
          <w:tcPr>
            <w:tcW w:w="945" w:type="pct"/>
            <w:tcBorders>
              <w:tl2br w:val="nil"/>
              <w:tr2bl w:val="nil"/>
            </w:tcBorders>
            <w:shd w:val="clear" w:color="auto" w:fill="auto"/>
            <w:vAlign w:val="center"/>
          </w:tcPr>
          <w:p w14:paraId="101744F3">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14:paraId="32BF9CF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14:paraId="60EA509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14:paraId="401FB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vMerge w:val="continue"/>
            <w:tcBorders>
              <w:tl2br w:val="nil"/>
              <w:tr2bl w:val="nil"/>
            </w:tcBorders>
            <w:shd w:val="clear" w:color="auto" w:fill="auto"/>
            <w:vAlign w:val="center"/>
          </w:tcPr>
          <w:p w14:paraId="3A9E37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vMerge w:val="continue"/>
            <w:tcBorders>
              <w:tl2br w:val="nil"/>
              <w:tr2bl w:val="nil"/>
            </w:tcBorders>
            <w:shd w:val="clear" w:color="auto" w:fill="auto"/>
            <w:vAlign w:val="center"/>
          </w:tcPr>
          <w:p w14:paraId="15680B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1252" w:type="pct"/>
            <w:tcBorders>
              <w:tl2br w:val="nil"/>
              <w:tr2bl w:val="nil"/>
            </w:tcBorders>
            <w:shd w:val="clear" w:color="auto" w:fill="auto"/>
            <w:vAlign w:val="center"/>
          </w:tcPr>
          <w:p w14:paraId="0906B9F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鉴定结论撤销</w:t>
            </w:r>
          </w:p>
        </w:tc>
        <w:tc>
          <w:tcPr>
            <w:tcW w:w="945" w:type="pct"/>
            <w:tcBorders>
              <w:tl2br w:val="nil"/>
              <w:tr2bl w:val="nil"/>
            </w:tcBorders>
            <w:shd w:val="clear" w:color="auto" w:fill="auto"/>
            <w:vAlign w:val="center"/>
          </w:tcPr>
          <w:p w14:paraId="7F1020A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省级前置系统</w:t>
            </w:r>
          </w:p>
        </w:tc>
        <w:tc>
          <w:tcPr>
            <w:tcW w:w="1081" w:type="pct"/>
            <w:tcBorders>
              <w:tl2br w:val="nil"/>
              <w:tr2bl w:val="nil"/>
            </w:tcBorders>
            <w:shd w:val="clear" w:color="auto" w:fill="auto"/>
            <w:vAlign w:val="center"/>
          </w:tcPr>
          <w:p w14:paraId="3E88687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服务调用</w:t>
            </w:r>
          </w:p>
        </w:tc>
        <w:tc>
          <w:tcPr>
            <w:tcW w:w="506" w:type="pct"/>
            <w:tcBorders>
              <w:tl2br w:val="nil"/>
              <w:tr2bl w:val="nil"/>
            </w:tcBorders>
            <w:shd w:val="clear" w:color="auto" w:fill="auto"/>
            <w:vAlign w:val="center"/>
          </w:tcPr>
          <w:p w14:paraId="01384CC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r w14:paraId="24A8B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trPr>
        <w:tc>
          <w:tcPr>
            <w:tcW w:w="503" w:type="pct"/>
            <w:tcBorders>
              <w:tl2br w:val="nil"/>
              <w:tr2bl w:val="nil"/>
            </w:tcBorders>
            <w:shd w:val="clear" w:color="auto" w:fill="auto"/>
            <w:vAlign w:val="center"/>
          </w:tcPr>
          <w:p w14:paraId="6DDE9D7A">
            <w:pPr>
              <w:keepNext w:val="0"/>
              <w:keepLines w:val="0"/>
              <w:pageBreakBefore w:val="0"/>
              <w:widowControl/>
              <w:numPr>
                <w:ilvl w:val="0"/>
                <w:numId w:val="19"/>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710" w:type="pct"/>
            <w:tcBorders>
              <w:tl2br w:val="nil"/>
              <w:tr2bl w:val="nil"/>
            </w:tcBorders>
            <w:shd w:val="clear" w:color="auto" w:fill="auto"/>
            <w:vAlign w:val="center"/>
          </w:tcPr>
          <w:p w14:paraId="5273B8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日常管理</w:t>
            </w:r>
          </w:p>
        </w:tc>
        <w:tc>
          <w:tcPr>
            <w:tcW w:w="1252" w:type="pct"/>
            <w:tcBorders>
              <w:tl2br w:val="nil"/>
              <w:tr2bl w:val="nil"/>
            </w:tcBorders>
            <w:shd w:val="clear" w:color="auto" w:fill="auto"/>
            <w:vAlign w:val="center"/>
          </w:tcPr>
          <w:p w14:paraId="2017E86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业务催办信息推送</w:t>
            </w:r>
          </w:p>
        </w:tc>
        <w:tc>
          <w:tcPr>
            <w:tcW w:w="945" w:type="pct"/>
            <w:tcBorders>
              <w:tl2br w:val="nil"/>
              <w:tr2bl w:val="nil"/>
            </w:tcBorders>
            <w:shd w:val="clear" w:color="auto" w:fill="auto"/>
            <w:vAlign w:val="center"/>
          </w:tcPr>
          <w:p w14:paraId="07485AAA">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全国信息平台</w:t>
            </w:r>
          </w:p>
        </w:tc>
        <w:tc>
          <w:tcPr>
            <w:tcW w:w="1081" w:type="pct"/>
            <w:tcBorders>
              <w:tl2br w:val="nil"/>
              <w:tr2bl w:val="nil"/>
            </w:tcBorders>
            <w:shd w:val="clear" w:color="auto" w:fill="auto"/>
            <w:vAlign w:val="center"/>
          </w:tcPr>
          <w:p w14:paraId="50A204FD">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消息队列+服务调用</w:t>
            </w:r>
          </w:p>
        </w:tc>
        <w:tc>
          <w:tcPr>
            <w:tcW w:w="506" w:type="pct"/>
            <w:tcBorders>
              <w:tl2br w:val="nil"/>
              <w:tr2bl w:val="nil"/>
            </w:tcBorders>
            <w:shd w:val="clear" w:color="auto" w:fill="auto"/>
            <w:vAlign w:val="center"/>
          </w:tcPr>
          <w:p w14:paraId="72C65D2E">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color w:val="auto"/>
                <w:sz w:val="28"/>
                <w:szCs w:val="28"/>
              </w:rPr>
              <w:t>准实时</w:t>
            </w:r>
          </w:p>
        </w:tc>
      </w:tr>
    </w:tbl>
    <w:p w14:paraId="6C612C9A">
      <w:pPr>
        <w:pStyle w:val="6"/>
        <w:numPr>
          <w:ilvl w:val="-1"/>
          <w:numId w:val="0"/>
        </w:numPr>
        <w:ind w:firstLine="643" w:firstLineChars="200"/>
        <w:rPr>
          <w:rFonts w:hint="eastAsia"/>
          <w:lang w:val="en-US" w:eastAsia="zh-CN"/>
        </w:rPr>
      </w:pPr>
      <w:r>
        <w:rPr>
          <w:rFonts w:hint="eastAsia"/>
          <w:lang w:val="en-US" w:eastAsia="zh-CN"/>
        </w:rPr>
        <w:t>2.数据开放共享</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20"/>
        <w:gridCol w:w="1636"/>
        <w:gridCol w:w="3564"/>
        <w:gridCol w:w="1166"/>
        <w:gridCol w:w="1077"/>
        <w:gridCol w:w="991"/>
      </w:tblGrid>
      <w:tr w14:paraId="5DFA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290" w:type="pct"/>
            <w:shd w:val="clear" w:color="auto" w:fill="BFBFBF"/>
            <w:vAlign w:val="center"/>
          </w:tcPr>
          <w:p w14:paraId="0E508CC4">
            <w:pPr>
              <w:pStyle w:val="6"/>
              <w:numPr>
                <w:ilvl w:val="0"/>
                <w:numId w:val="0"/>
                <w:ins w:id="39" w:author="溪云" w:date="2025-04-23T10:26:58Z"/>
              </w:numPr>
              <w:adjustRightInd/>
              <w:snapToGrid/>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sz w:val="28"/>
                <w:szCs w:val="28"/>
                <w:u w:val="none"/>
              </w:rPr>
              <w:t>序号</w:t>
            </w:r>
          </w:p>
        </w:tc>
        <w:tc>
          <w:tcPr>
            <w:tcW w:w="913" w:type="pct"/>
            <w:shd w:val="clear" w:color="auto" w:fill="BFBFBF"/>
            <w:vAlign w:val="center"/>
          </w:tcPr>
          <w:p w14:paraId="444A1998">
            <w:pPr>
              <w:pStyle w:val="6"/>
              <w:numPr>
                <w:ilvl w:val="0"/>
                <w:numId w:val="0"/>
                <w:ins w:id="40" w:author="溪云" w:date="2025-04-23T10:26:58Z"/>
              </w:numPr>
              <w:adjustRightInd/>
              <w:snapToGrid/>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sz w:val="28"/>
                <w:szCs w:val="28"/>
                <w:u w:val="none"/>
              </w:rPr>
              <w:t>信息分类</w:t>
            </w:r>
          </w:p>
        </w:tc>
        <w:tc>
          <w:tcPr>
            <w:tcW w:w="1990" w:type="pct"/>
            <w:shd w:val="clear" w:color="auto" w:fill="BFBFBF"/>
            <w:vAlign w:val="center"/>
          </w:tcPr>
          <w:p w14:paraId="28D03FBD">
            <w:pPr>
              <w:pStyle w:val="6"/>
              <w:numPr>
                <w:ilvl w:val="0"/>
                <w:numId w:val="0"/>
                <w:ins w:id="41" w:author="溪云" w:date="2025-04-23T10:26:58Z"/>
              </w:numPr>
              <w:adjustRightInd/>
              <w:snapToGrid/>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sz w:val="28"/>
                <w:szCs w:val="28"/>
                <w:u w:val="none"/>
              </w:rPr>
              <w:t>信息项名称</w:t>
            </w:r>
          </w:p>
        </w:tc>
        <w:tc>
          <w:tcPr>
            <w:tcW w:w="651" w:type="pct"/>
            <w:shd w:val="clear" w:color="auto" w:fill="BFBFBF"/>
            <w:vAlign w:val="center"/>
          </w:tcPr>
          <w:p w14:paraId="245D8A1F">
            <w:pPr>
              <w:pStyle w:val="6"/>
              <w:numPr>
                <w:ilvl w:val="0"/>
                <w:numId w:val="0"/>
                <w:ins w:id="42" w:author="溪云" w:date="2025-04-23T10:26:58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共享使用系统</w:t>
            </w:r>
          </w:p>
        </w:tc>
        <w:tc>
          <w:tcPr>
            <w:tcW w:w="601" w:type="pct"/>
            <w:shd w:val="clear" w:color="auto" w:fill="BFBFBF"/>
            <w:vAlign w:val="center"/>
          </w:tcPr>
          <w:p w14:paraId="7B6A2DE5">
            <w:pPr>
              <w:pStyle w:val="6"/>
              <w:numPr>
                <w:ilvl w:val="0"/>
                <w:numId w:val="0"/>
                <w:ins w:id="43" w:author="溪云" w:date="2025-04-23T10:26:58Z"/>
              </w:numPr>
              <w:adjustRightInd/>
              <w:snapToGrid/>
              <w:textAlignment w:val="auto"/>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共享方式</w:t>
            </w:r>
          </w:p>
        </w:tc>
        <w:tc>
          <w:tcPr>
            <w:tcW w:w="553" w:type="pct"/>
            <w:shd w:val="clear" w:color="auto" w:fill="BFBFBF"/>
            <w:noWrap/>
            <w:vAlign w:val="center"/>
          </w:tcPr>
          <w:p w14:paraId="5DE0DB41">
            <w:pPr>
              <w:pStyle w:val="6"/>
              <w:numPr>
                <w:ilvl w:val="0"/>
                <w:numId w:val="0"/>
                <w:ins w:id="44" w:author="溪云" w:date="2025-04-23T10:26:58Z"/>
              </w:numPr>
              <w:adjustRightInd/>
              <w:snapToGrid/>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数据更新频率</w:t>
            </w:r>
          </w:p>
        </w:tc>
      </w:tr>
      <w:tr w14:paraId="44CA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290" w:type="pct"/>
            <w:shd w:val="clear" w:color="auto" w:fill="auto"/>
            <w:vAlign w:val="center"/>
          </w:tcPr>
          <w:p w14:paraId="09E555E4">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14:paraId="7F773FB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企业职工、城乡居民养老保险状态信息</w:t>
            </w:r>
          </w:p>
        </w:tc>
        <w:tc>
          <w:tcPr>
            <w:tcW w:w="1990" w:type="pct"/>
            <w:shd w:val="clear" w:color="auto" w:fill="auto"/>
            <w:vAlign w:val="center"/>
          </w:tcPr>
          <w:p w14:paraId="71E393C7">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姓名、社会保障号码（公民身份号码）、个人身份、缴费日期、企业职工养老保险个人参保缴费状态、城乡居民养老保险缴费状态</w:t>
            </w:r>
          </w:p>
        </w:tc>
        <w:tc>
          <w:tcPr>
            <w:tcW w:w="651" w:type="pct"/>
            <w:vMerge w:val="restart"/>
            <w:shd w:val="clear" w:color="auto" w:fill="auto"/>
            <w:vAlign w:val="center"/>
          </w:tcPr>
          <w:p w14:paraId="0FE931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贵州省社会保险三险合一信息系统</w:t>
            </w:r>
          </w:p>
        </w:tc>
        <w:tc>
          <w:tcPr>
            <w:tcW w:w="601" w:type="pct"/>
            <w:vMerge w:val="restart"/>
            <w:shd w:val="clear" w:color="auto" w:fill="auto"/>
            <w:vAlign w:val="center"/>
          </w:tcPr>
          <w:p w14:paraId="1E2DE3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接口</w:t>
            </w:r>
          </w:p>
        </w:tc>
        <w:tc>
          <w:tcPr>
            <w:tcW w:w="553" w:type="pct"/>
            <w:vMerge w:val="restart"/>
            <w:shd w:val="clear" w:color="auto" w:fill="auto"/>
            <w:noWrap/>
            <w:vAlign w:val="center"/>
          </w:tcPr>
          <w:p w14:paraId="1BA01355">
            <w:pPr>
              <w:keepNext w:val="0"/>
              <w:keepLines w:val="0"/>
              <w:pageBreakBefore w:val="0"/>
              <w:widowControl/>
              <w:tabs>
                <w:tab w:val="left" w:pos="361"/>
                <w:tab w:val="center" w:pos="782"/>
              </w:tabs>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每周</w:t>
            </w:r>
          </w:p>
        </w:tc>
      </w:tr>
      <w:tr w14:paraId="688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290" w:type="pct"/>
            <w:shd w:val="clear" w:color="auto" w:fill="auto"/>
            <w:vAlign w:val="center"/>
          </w:tcPr>
          <w:p w14:paraId="1C95D4AB">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14:paraId="10B532F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城镇企业职工基本养老保险参保缴费状态</w:t>
            </w:r>
          </w:p>
        </w:tc>
        <w:tc>
          <w:tcPr>
            <w:tcW w:w="1990" w:type="pct"/>
            <w:shd w:val="clear" w:color="auto" w:fill="auto"/>
            <w:vAlign w:val="center"/>
          </w:tcPr>
          <w:p w14:paraId="70179EA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姓名、社会保障号码（公民身份号码）、个人身份、缴费状态、缴费单位名称、缴费基数、缴费期别</w:t>
            </w:r>
          </w:p>
        </w:tc>
        <w:tc>
          <w:tcPr>
            <w:tcW w:w="651" w:type="pct"/>
            <w:vMerge w:val="continue"/>
            <w:shd w:val="clear" w:color="auto" w:fill="auto"/>
            <w:vAlign w:val="center"/>
          </w:tcPr>
          <w:p w14:paraId="57BDA0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01" w:type="pct"/>
            <w:vMerge w:val="continue"/>
            <w:shd w:val="clear" w:color="auto" w:fill="auto"/>
            <w:vAlign w:val="center"/>
          </w:tcPr>
          <w:p w14:paraId="28B0D5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553" w:type="pct"/>
            <w:vMerge w:val="continue"/>
            <w:shd w:val="clear" w:color="auto" w:fill="auto"/>
            <w:noWrap/>
            <w:vAlign w:val="center"/>
          </w:tcPr>
          <w:p w14:paraId="27DD773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66A1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290" w:type="pct"/>
            <w:shd w:val="clear" w:color="auto" w:fill="auto"/>
            <w:vAlign w:val="center"/>
          </w:tcPr>
          <w:p w14:paraId="3A3E722F">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14:paraId="38ACCBC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城镇企业职工基本养老保险领取待遇信息</w:t>
            </w:r>
          </w:p>
        </w:tc>
        <w:tc>
          <w:tcPr>
            <w:tcW w:w="1990" w:type="pct"/>
            <w:shd w:val="clear" w:color="auto" w:fill="auto"/>
            <w:vAlign w:val="center"/>
          </w:tcPr>
          <w:p w14:paraId="5D51135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姓名、社会保障号码（公民身份号码）、离退休日期、待遇发放状态、基本养老金金额、待遇发放期别</w:t>
            </w:r>
          </w:p>
        </w:tc>
        <w:tc>
          <w:tcPr>
            <w:tcW w:w="651" w:type="pct"/>
            <w:vMerge w:val="continue"/>
            <w:shd w:val="clear" w:color="auto" w:fill="auto"/>
            <w:vAlign w:val="center"/>
          </w:tcPr>
          <w:p w14:paraId="5E217C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01" w:type="pct"/>
            <w:vMerge w:val="continue"/>
            <w:shd w:val="clear" w:color="auto" w:fill="auto"/>
            <w:vAlign w:val="center"/>
          </w:tcPr>
          <w:p w14:paraId="3ED265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553" w:type="pct"/>
            <w:vMerge w:val="continue"/>
            <w:shd w:val="clear" w:color="auto" w:fill="auto"/>
            <w:noWrap/>
            <w:vAlign w:val="center"/>
          </w:tcPr>
          <w:p w14:paraId="0A4E5992">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6ED6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290" w:type="pct"/>
            <w:shd w:val="clear" w:color="auto" w:fill="auto"/>
            <w:vAlign w:val="center"/>
          </w:tcPr>
          <w:p w14:paraId="50E7ADBC">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14:paraId="6C0BB55B">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城乡居民基本养老保险待遇领取信息</w:t>
            </w:r>
          </w:p>
        </w:tc>
        <w:tc>
          <w:tcPr>
            <w:tcW w:w="1990" w:type="pct"/>
            <w:shd w:val="clear" w:color="auto" w:fill="auto"/>
            <w:vAlign w:val="center"/>
          </w:tcPr>
          <w:p w14:paraId="5DA38843">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姓名、社会保障号码（公民身份号码）、待遇发放状态、基本养老金金额、待遇发放期别</w:t>
            </w:r>
          </w:p>
        </w:tc>
        <w:tc>
          <w:tcPr>
            <w:tcW w:w="651" w:type="pct"/>
            <w:vMerge w:val="continue"/>
            <w:shd w:val="clear" w:color="auto" w:fill="auto"/>
            <w:vAlign w:val="center"/>
          </w:tcPr>
          <w:p w14:paraId="049394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01" w:type="pct"/>
            <w:vMerge w:val="continue"/>
            <w:shd w:val="clear" w:color="auto" w:fill="auto"/>
            <w:vAlign w:val="center"/>
          </w:tcPr>
          <w:p w14:paraId="4EBBD6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553" w:type="pct"/>
            <w:vMerge w:val="continue"/>
            <w:shd w:val="clear" w:color="auto" w:fill="auto"/>
            <w:noWrap/>
            <w:vAlign w:val="center"/>
          </w:tcPr>
          <w:p w14:paraId="6B3925D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tc>
      </w:tr>
      <w:tr w14:paraId="2674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trPr>
        <w:tc>
          <w:tcPr>
            <w:tcW w:w="290" w:type="pct"/>
            <w:shd w:val="clear" w:color="auto" w:fill="auto"/>
            <w:vAlign w:val="center"/>
          </w:tcPr>
          <w:p w14:paraId="3D27F57D">
            <w:pPr>
              <w:keepNext w:val="0"/>
              <w:keepLines w:val="0"/>
              <w:pageBreakBefore w:val="0"/>
              <w:widowControl/>
              <w:numPr>
                <w:ilvl w:val="0"/>
                <w:numId w:val="2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sz w:val="28"/>
                <w:szCs w:val="28"/>
                <w:u w:val="none"/>
              </w:rPr>
            </w:pPr>
          </w:p>
        </w:tc>
        <w:tc>
          <w:tcPr>
            <w:tcW w:w="913" w:type="pct"/>
            <w:shd w:val="clear" w:color="auto" w:fill="auto"/>
            <w:vAlign w:val="center"/>
          </w:tcPr>
          <w:p w14:paraId="2F8C801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企业社保参保信息</w:t>
            </w:r>
          </w:p>
        </w:tc>
        <w:tc>
          <w:tcPr>
            <w:tcW w:w="1990" w:type="pct"/>
            <w:shd w:val="clear" w:color="auto" w:fill="auto"/>
            <w:vAlign w:val="center"/>
          </w:tcPr>
          <w:p w14:paraId="55B1F5D7">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color w:val="auto"/>
                <w:sz w:val="28"/>
                <w:szCs w:val="28"/>
              </w:rPr>
              <w:t>单位名称、统一社会信用代码/组织机构代码、缴费期别（正常参保缴费企业）、所在地行政区划、参保缴费状态、缴费基数</w:t>
            </w:r>
          </w:p>
        </w:tc>
        <w:tc>
          <w:tcPr>
            <w:tcW w:w="651" w:type="pct"/>
            <w:vMerge w:val="continue"/>
            <w:shd w:val="clear" w:color="auto" w:fill="auto"/>
            <w:vAlign w:val="center"/>
          </w:tcPr>
          <w:p w14:paraId="57526B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601" w:type="pct"/>
            <w:vMerge w:val="continue"/>
            <w:shd w:val="clear" w:color="auto" w:fill="auto"/>
            <w:vAlign w:val="center"/>
          </w:tcPr>
          <w:p w14:paraId="28C03D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553" w:type="pct"/>
            <w:vMerge w:val="continue"/>
            <w:shd w:val="clear" w:color="auto" w:fill="auto"/>
            <w:noWrap/>
            <w:vAlign w:val="center"/>
          </w:tcPr>
          <w:p w14:paraId="34F00B9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tc>
      </w:tr>
    </w:tbl>
    <w:p w14:paraId="0B26E2A0">
      <w:pPr>
        <w:pStyle w:val="5"/>
        <w:keepNext w:val="0"/>
        <w:keepLines w:val="0"/>
        <w:pageBreakBefore w:val="0"/>
        <w:widowControl w:val="0"/>
        <w:kinsoku/>
        <w:wordWrap/>
        <w:overflowPunct/>
        <w:topLinePunct w:val="0"/>
        <w:autoSpaceDE/>
        <w:autoSpaceDN/>
        <w:bidi w:val="0"/>
        <w:adjustRightInd/>
        <w:snapToGrid/>
        <w:spacing w:line="560" w:lineRule="exact"/>
        <w:ind w:firstLineChars="200"/>
        <w:textAlignment w:val="auto"/>
        <w:outlineLvl w:val="1"/>
        <w:rPr>
          <w:rFonts w:hint="eastAsia"/>
          <w:lang w:eastAsia="zh-CN"/>
        </w:rPr>
      </w:pPr>
      <w:r>
        <w:rPr>
          <w:rFonts w:hint="eastAsia"/>
          <w:lang w:eastAsia="zh-CN"/>
        </w:rPr>
        <w:t>安全需求</w:t>
      </w:r>
    </w:p>
    <w:p w14:paraId="1B4B51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cs="仿宋_GB2312"/>
          <w:color w:val="auto"/>
          <w:sz w:val="32"/>
          <w:szCs w:val="32"/>
          <w:lang w:val="en-US" w:eastAsia="zh-CN"/>
        </w:rPr>
        <w:t>现有社会保险信息系统</w:t>
      </w:r>
      <w:r>
        <w:rPr>
          <w:rFonts w:hint="eastAsia" w:ascii="仿宋_GB2312" w:hAnsi="仿宋_GB2312" w:eastAsia="仿宋_GB2312" w:cs="仿宋_GB2312"/>
          <w:color w:val="auto"/>
          <w:sz w:val="32"/>
          <w:szCs w:val="32"/>
          <w:lang w:eastAsia="zh-CN"/>
        </w:rPr>
        <w:t>使用人社专网，安全保护等级为3级</w:t>
      </w:r>
      <w:r>
        <w:rPr>
          <w:rFonts w:hint="eastAsia" w:cs="仿宋_GB2312"/>
          <w:color w:val="auto"/>
          <w:sz w:val="32"/>
          <w:szCs w:val="32"/>
          <w:lang w:eastAsia="zh-CN"/>
        </w:rPr>
        <w:t>。</w:t>
      </w:r>
      <w:r>
        <w:rPr>
          <w:rFonts w:hint="eastAsia" w:cs="仿宋_GB2312"/>
          <w:color w:val="auto"/>
          <w:sz w:val="32"/>
          <w:szCs w:val="32"/>
          <w:lang w:val="en-US" w:eastAsia="zh-CN"/>
        </w:rPr>
        <w:t>系统升级改造完成后，原有整合系统将不再新进行等保定级和按年复测，统一纳入社会保险信息系统实施。同步实施国产密钥改造工作，评测也遵循统一原则开展</w:t>
      </w:r>
      <w:r>
        <w:rPr>
          <w:rFonts w:hint="eastAsia" w:ascii="仿宋_GB2312" w:hAnsi="仿宋_GB2312" w:eastAsia="仿宋_GB2312" w:cs="仿宋_GB2312"/>
          <w:color w:val="auto"/>
          <w:sz w:val="32"/>
          <w:szCs w:val="32"/>
          <w:lang w:eastAsia="zh-CN"/>
        </w:rPr>
        <w:t>。</w:t>
      </w:r>
    </w:p>
    <w:p w14:paraId="31210951">
      <w:pPr>
        <w:pStyle w:val="5"/>
        <w:rPr>
          <w:rFonts w:hint="eastAsia" w:ascii="楷体_GB2312" w:hAnsi="楷体_GB2312" w:eastAsia="楷体_GB2312" w:cstheme="minorBidi"/>
          <w:sz w:val="32"/>
          <w:szCs w:val="22"/>
          <w:lang w:eastAsia="zh-CN"/>
        </w:rPr>
      </w:pPr>
      <w:r>
        <w:rPr>
          <w:rFonts w:hint="eastAsia" w:ascii="楷体_GB2312" w:hAnsi="楷体_GB2312" w:eastAsia="楷体_GB2312" w:cstheme="minorBidi"/>
          <w:sz w:val="32"/>
          <w:szCs w:val="22"/>
          <w:lang w:eastAsia="zh-CN"/>
        </w:rPr>
        <w:t>（七）人社标准化要求</w:t>
      </w:r>
    </w:p>
    <w:p w14:paraId="051500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按照人社一体化建设需求，项目要满足以下标准化需求。</w:t>
      </w:r>
    </w:p>
    <w:p w14:paraId="01B28C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基础库：与人社基础库对接，实现个人、单位基础数据统一管理的要求。</w:t>
      </w:r>
    </w:p>
    <w:p w14:paraId="5D97D5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体化平台：通过与全省现已建成的一体化信息化支撑平台对接，实现业务受理、用户管理、单点登录、统一认证、电子证照、统一存储、知识库、GIS（地理信息）等功能，可根据业务要求使用人社部门已有的信息化基础支撑服务。主要包括以下功能：</w:t>
      </w:r>
    </w:p>
    <w:p w14:paraId="3DD3AF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门户：通过应用集成使所有的信息系统实现统一的登录入口和使用入口、统一的用户界面风格和交互模式，并且用户可以获得个性化的工作台；通过数据集成，使各个信息系统共有的数据（账户、组织、权限等）能够实现统一管理，统一分发。</w:t>
      </w:r>
    </w:p>
    <w:p w14:paraId="0FAB9E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单点登录：单点登录实现用户的统一管理。建立单点登陆后，用户只需记住单点登录的用户名和密码即可登陆所有系统。单点登录是门户集成、统一认证接入的根本。</w:t>
      </w:r>
    </w:p>
    <w:p w14:paraId="3506AE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统一认证：统一认证为内网应用与互联网应用提供第三方认证服务服务。主要功能有：用户注册、用户信息修改、密码修改、密码找回、实名认证等，可以为互联网上公共服务系统提供单点登录支持。</w:t>
      </w:r>
    </w:p>
    <w:p w14:paraId="10EC74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电子证照：电子证照通过接口形式实现证照汇集、证照管理和证照应用。对政务部门提供便捷接口，扩大人社电子证照服务半径，提供证照的在线调阅、离线校验等相关服务。</w:t>
      </w:r>
    </w:p>
    <w:p w14:paraId="6F66EB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统一存储：实现对各项目的核心业务系统、电子档案系统、公共服务系统、柜台服务系统等提供统一的、标准的非结构化数据存储管理。</w:t>
      </w:r>
    </w:p>
    <w:p w14:paraId="75228F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GIS（地理信息）：提供完整的基础地图数据和地图服务。可通过标准接口实现地图数据的调用和支持需使用地图数据的相关应用。</w:t>
      </w:r>
    </w:p>
    <w:p w14:paraId="5F587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通过与人社系统总线和人社数据管理平台对接，实现实现跨领域的业务协同和办理和人社数据归集。</w:t>
      </w:r>
    </w:p>
    <w:p w14:paraId="56E1D9B1">
      <w:pPr>
        <w:pStyle w:val="13"/>
      </w:pPr>
      <w:r>
        <w:rPr>
          <w:rFonts w:hint="eastAsia" w:ascii="仿宋_GB2312" w:hAnsi="仿宋_GB2312" w:eastAsia="仿宋_GB2312" w:cs="仿宋_GB2312"/>
          <w:sz w:val="32"/>
          <w:szCs w:val="32"/>
          <w:lang w:eastAsia="zh-CN"/>
        </w:rPr>
        <w:t>通过与“互联网+人社”公共服务平台对接，实现对公共服务事项进行封装并接入。</w:t>
      </w:r>
    </w:p>
    <w:p w14:paraId="3616926F">
      <w:pPr>
        <w:pStyle w:val="6"/>
        <w:numPr>
          <w:ilvl w:val="-1"/>
          <w:numId w:val="0"/>
        </w:numPr>
        <w:ind w:firstLine="643" w:firstLineChars="200"/>
        <w:rPr>
          <w:rFonts w:hint="eastAsia"/>
          <w:lang w:eastAsia="zh-CN"/>
        </w:rPr>
      </w:pPr>
      <w:r>
        <w:rPr>
          <w:rFonts w:hint="eastAsia"/>
          <w:lang w:val="en-US" w:eastAsia="zh-CN"/>
        </w:rPr>
        <w:t>1.</w:t>
      </w:r>
      <w:r>
        <w:rPr>
          <w:rFonts w:hint="eastAsia"/>
          <w:lang w:eastAsia="zh-CN"/>
        </w:rPr>
        <w:t>等级保护建设需求</w:t>
      </w:r>
    </w:p>
    <w:p w14:paraId="552705DA">
      <w:pPr>
        <w:pStyle w:val="13"/>
        <w:rPr>
          <w:rFonts w:hint="eastAsia"/>
          <w:lang w:eastAsia="zh-CN"/>
        </w:rPr>
      </w:pPr>
      <w:r>
        <w:rPr>
          <w:rFonts w:hint="eastAsia"/>
          <w:lang w:eastAsia="zh-CN"/>
        </w:rPr>
        <w:t>本项目需根据《GBT22239-2019信息安全技术网络安全等级保护基本要求》、《GBT-25070-2019 信息安全技术网络安全等级保护安全设计技术要求》、《GBT-28448-2019信息安全技术网络安全等级保护测评要求》等文件，按照等保三级要求进行建设。</w:t>
      </w:r>
    </w:p>
    <w:p w14:paraId="58204E34">
      <w:pPr>
        <w:pStyle w:val="6"/>
        <w:numPr>
          <w:ilvl w:val="-1"/>
          <w:numId w:val="0"/>
        </w:numPr>
        <w:ind w:firstLine="643" w:firstLineChars="200"/>
        <w:rPr>
          <w:rFonts w:hint="eastAsia"/>
          <w:lang w:eastAsia="zh-CN"/>
        </w:rPr>
      </w:pPr>
      <w:r>
        <w:rPr>
          <w:rFonts w:hint="eastAsia"/>
          <w:lang w:val="en-US" w:eastAsia="zh-CN"/>
        </w:rPr>
        <w:t>2.</w:t>
      </w:r>
      <w:r>
        <w:rPr>
          <w:rFonts w:hint="eastAsia"/>
          <w:lang w:eastAsia="zh-CN"/>
        </w:rPr>
        <w:t>密码应用建设需求</w:t>
      </w:r>
    </w:p>
    <w:p w14:paraId="6417B8F6">
      <w:pPr>
        <w:pStyle w:val="13"/>
        <w:rPr>
          <w:rFonts w:hint="eastAsia"/>
          <w:lang w:eastAsia="zh-CN"/>
        </w:rPr>
      </w:pPr>
      <w:r>
        <w:rPr>
          <w:rFonts w:hint="eastAsia"/>
          <w:lang w:eastAsia="zh-CN"/>
        </w:rPr>
        <w:t>根据风险控制需求，结合《GB/T 39786-2021信息安全技术 信息系统密码应用基本要求》等级保护第三级密码防护要求，需通过密码的机密性、完整性、真实性、不可否认性功能，对应用和数据进行防护。</w:t>
      </w:r>
    </w:p>
    <w:p w14:paraId="6F94AFB3">
      <w:pPr>
        <w:pStyle w:val="13"/>
        <w:ind w:firstLine="640" w:firstLineChars="200"/>
        <w:rPr>
          <w:rFonts w:hint="eastAsia"/>
          <w:lang w:eastAsia="zh-CN"/>
        </w:rPr>
      </w:pPr>
      <w:r>
        <w:rPr>
          <w:rFonts w:hint="eastAsia"/>
          <w:lang w:eastAsia="zh-CN"/>
        </w:rPr>
        <w:t>根据国家相关要求，信息系统的密码应用应依据《GB/T 39786-2021信息安全技术 信息系统密码应用基本要求》并采取相应保护措施，提升系统的安全防护水平。对于新建网络和信息系统，应当采取符合国家密码管理政策和标准规范的密码进行保护，做到“三同步，一评估”原则，即：同步规划、同步建设、同步运行、定期评估；对于已建的网络和信息系统需要进行密码应用改造，并进行评估。</w:t>
      </w:r>
    </w:p>
    <w:p w14:paraId="0D2DC48D">
      <w:pPr>
        <w:pStyle w:val="6"/>
        <w:numPr>
          <w:ilvl w:val="-1"/>
          <w:numId w:val="0"/>
        </w:numPr>
        <w:ind w:firstLine="643" w:firstLineChars="200"/>
        <w:rPr>
          <w:rFonts w:hint="eastAsia"/>
          <w:lang w:eastAsia="zh-CN"/>
        </w:rPr>
      </w:pPr>
      <w:r>
        <w:rPr>
          <w:rFonts w:hint="eastAsia"/>
          <w:lang w:val="en-US" w:eastAsia="zh-CN"/>
        </w:rPr>
        <w:t>3.</w:t>
      </w:r>
      <w:r>
        <w:rPr>
          <w:rFonts w:hint="eastAsia"/>
          <w:lang w:eastAsia="zh-CN"/>
        </w:rPr>
        <w:t>数据安全保障需求</w:t>
      </w:r>
    </w:p>
    <w:p w14:paraId="6F16182A">
      <w:pPr>
        <w:pStyle w:val="13"/>
        <w:rPr>
          <w:rFonts w:hint="eastAsia"/>
          <w:lang w:eastAsia="zh-CN"/>
        </w:rPr>
      </w:pPr>
      <w:r>
        <w:rPr>
          <w:rFonts w:hint="eastAsia"/>
          <w:lang w:eastAsia="zh-CN"/>
        </w:rPr>
        <w:t>本项目数据安全保障遵循《中华人民共和国数据安全法》及相关行业政策法律法规要求。</w:t>
      </w:r>
    </w:p>
    <w:p w14:paraId="345B43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lang w:eastAsia="zh-CN"/>
        </w:rPr>
      </w:pPr>
      <w:r>
        <w:rPr>
          <w:rFonts w:hint="eastAsia"/>
        </w:rPr>
        <w:t>项目建设</w:t>
      </w:r>
      <w:r>
        <w:rPr>
          <w:rFonts w:hint="eastAsia"/>
          <w:lang w:eastAsia="zh-CN"/>
        </w:rPr>
        <w:t>进度安排</w:t>
      </w:r>
    </w:p>
    <w:p w14:paraId="60276672">
      <w:pPr>
        <w:pStyle w:val="5"/>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firstLine="640" w:firstLineChars="0"/>
        <w:textAlignment w:val="auto"/>
        <w:outlineLvl w:val="1"/>
        <w:rPr>
          <w:rFonts w:hint="eastAsia"/>
          <w:lang w:eastAsia="zh-CN"/>
        </w:rPr>
      </w:pPr>
      <w:r>
        <w:rPr>
          <w:rFonts w:hint="eastAsia"/>
          <w:lang w:eastAsia="zh-CN"/>
        </w:rPr>
        <w:t>项目总工期</w:t>
      </w:r>
    </w:p>
    <w:p w14:paraId="2CE9B7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本项目总工期</w:t>
      </w:r>
      <w:r>
        <w:rPr>
          <w:rFonts w:hint="eastAsia" w:ascii="仿宋_GB2312" w:hAnsi="仿宋_GB2312" w:eastAsia="仿宋_GB2312" w:cs="仿宋_GB2312"/>
          <w:color w:val="auto"/>
          <w:sz w:val="32"/>
          <w:szCs w:val="32"/>
          <w:lang w:val="en-US" w:eastAsia="zh-CN"/>
        </w:rPr>
        <w:t>1</w:t>
      </w:r>
      <w:r>
        <w:rPr>
          <w:rFonts w:hint="eastAsia"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个月。</w:t>
      </w:r>
    </w:p>
    <w:p w14:paraId="651D3EC1">
      <w:pPr>
        <w:pStyle w:val="5"/>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firstLine="640" w:firstLineChars="0"/>
        <w:textAlignment w:val="auto"/>
        <w:outlineLvl w:val="1"/>
        <w:rPr>
          <w:rFonts w:hint="eastAsia" w:ascii="仿宋" w:hAnsi="仿宋" w:eastAsia="仿宋"/>
          <w:color w:val="auto"/>
          <w:sz w:val="32"/>
          <w:szCs w:val="32"/>
        </w:rPr>
      </w:pPr>
      <w:r>
        <w:rPr>
          <w:rFonts w:hint="eastAsia" w:ascii="楷体_GB2312" w:hAnsi="楷体_GB2312" w:eastAsia="楷体_GB2312"/>
          <w:color w:val="auto"/>
          <w:sz w:val="32"/>
          <w:szCs w:val="22"/>
          <w:lang w:eastAsia="zh-CN"/>
        </w:rPr>
        <w:t>项目实施</w:t>
      </w:r>
      <w:r>
        <w:rPr>
          <w:rFonts w:hint="eastAsia" w:ascii="楷体" w:hAnsi="楷体" w:eastAsia="楷体"/>
          <w:color w:val="auto"/>
          <w:sz w:val="32"/>
          <w:szCs w:val="32"/>
          <w:lang w:eastAsia="zh-CN"/>
        </w:rPr>
        <w:t>进度</w:t>
      </w:r>
    </w:p>
    <w:tbl>
      <w:tblPr>
        <w:tblStyle w:val="15"/>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3"/>
        <w:gridCol w:w="2858"/>
        <w:gridCol w:w="2858"/>
        <w:gridCol w:w="2038"/>
      </w:tblGrid>
      <w:tr w14:paraId="2008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65E05F6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66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1CDE653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项目阶段</w:t>
            </w:r>
          </w:p>
        </w:tc>
        <w:tc>
          <w:tcPr>
            <w:tcW w:w="166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B66453A">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关键活动</w:t>
            </w:r>
          </w:p>
        </w:tc>
        <w:tc>
          <w:tcPr>
            <w:tcW w:w="1189"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6D261AC">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持续</w:t>
            </w:r>
            <w:r>
              <w:rPr>
                <w:rFonts w:hint="eastAsia" w:ascii="仿宋" w:hAnsi="仿宋" w:eastAsia="仿宋" w:cs="仿宋"/>
                <w:b/>
                <w:color w:val="auto"/>
                <w:sz w:val="28"/>
                <w:szCs w:val="28"/>
              </w:rPr>
              <w:t>时间</w:t>
            </w:r>
          </w:p>
        </w:tc>
      </w:tr>
      <w:tr w14:paraId="3321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63D6C7B2">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restart"/>
            <w:tcBorders>
              <w:top w:val="nil"/>
              <w:left w:val="single" w:color="auto" w:sz="4" w:space="0"/>
              <w:bottom w:val="single" w:color="auto" w:sz="4" w:space="0"/>
              <w:right w:val="single" w:color="auto" w:sz="4" w:space="0"/>
            </w:tcBorders>
          </w:tcPr>
          <w:p w14:paraId="61B7F093">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需求分析阶段</w:t>
            </w:r>
          </w:p>
        </w:tc>
        <w:tc>
          <w:tcPr>
            <w:tcW w:w="1668" w:type="pct"/>
            <w:tcBorders>
              <w:top w:val="single" w:color="auto" w:sz="4" w:space="0"/>
              <w:left w:val="single" w:color="auto" w:sz="4" w:space="0"/>
              <w:bottom w:val="single" w:color="auto" w:sz="4" w:space="0"/>
              <w:right w:val="single" w:color="auto" w:sz="4" w:space="0"/>
            </w:tcBorders>
          </w:tcPr>
          <w:p w14:paraId="1C425146">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需求</w:t>
            </w:r>
            <w:r>
              <w:rPr>
                <w:rFonts w:hint="eastAsia" w:ascii="仿宋" w:hAnsi="仿宋" w:eastAsia="仿宋" w:cs="仿宋"/>
                <w:color w:val="auto"/>
                <w:sz w:val="28"/>
                <w:szCs w:val="28"/>
                <w:lang w:val="en-US" w:eastAsia="zh-CN"/>
              </w:rPr>
              <w:t>收集</w:t>
            </w:r>
          </w:p>
        </w:tc>
        <w:tc>
          <w:tcPr>
            <w:tcW w:w="1189" w:type="pct"/>
            <w:tcBorders>
              <w:top w:val="single" w:color="auto" w:sz="4" w:space="0"/>
              <w:left w:val="single" w:color="auto" w:sz="4" w:space="0"/>
              <w:bottom w:val="single" w:color="auto" w:sz="4" w:space="0"/>
              <w:right w:val="single" w:color="auto" w:sz="4" w:space="0"/>
            </w:tcBorders>
          </w:tcPr>
          <w:p w14:paraId="7965330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p>
        </w:tc>
      </w:tr>
      <w:tr w14:paraId="7A81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104D0A7B">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continue"/>
            <w:tcBorders>
              <w:top w:val="nil"/>
              <w:left w:val="single" w:color="auto" w:sz="4" w:space="0"/>
              <w:bottom w:val="single" w:color="auto" w:sz="4" w:space="0"/>
              <w:right w:val="single" w:color="auto" w:sz="4" w:space="0"/>
            </w:tcBorders>
            <w:vAlign w:val="center"/>
          </w:tcPr>
          <w:p w14:paraId="037C576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8"/>
                <w:szCs w:val="28"/>
              </w:rPr>
            </w:pPr>
          </w:p>
        </w:tc>
        <w:tc>
          <w:tcPr>
            <w:tcW w:w="1668" w:type="pct"/>
            <w:tcBorders>
              <w:top w:val="single" w:color="auto" w:sz="4" w:space="0"/>
              <w:left w:val="single" w:color="auto" w:sz="4" w:space="0"/>
              <w:bottom w:val="single" w:color="auto" w:sz="4" w:space="0"/>
              <w:right w:val="single" w:color="auto" w:sz="4" w:space="0"/>
            </w:tcBorders>
          </w:tcPr>
          <w:p w14:paraId="4B9D892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需求</w:t>
            </w:r>
            <w:r>
              <w:rPr>
                <w:rFonts w:hint="eastAsia" w:ascii="仿宋" w:hAnsi="仿宋" w:eastAsia="仿宋" w:cs="仿宋"/>
                <w:color w:val="auto"/>
                <w:sz w:val="28"/>
                <w:szCs w:val="28"/>
                <w:lang w:val="en-US" w:eastAsia="zh-CN"/>
              </w:rPr>
              <w:t>评审</w:t>
            </w:r>
          </w:p>
        </w:tc>
        <w:tc>
          <w:tcPr>
            <w:tcW w:w="1189" w:type="pct"/>
            <w:tcBorders>
              <w:top w:val="single" w:color="auto" w:sz="4" w:space="0"/>
              <w:left w:val="single" w:color="auto" w:sz="4" w:space="0"/>
              <w:bottom w:val="single" w:color="auto" w:sz="4" w:space="0"/>
              <w:right w:val="single" w:color="auto" w:sz="4" w:space="0"/>
            </w:tcBorders>
          </w:tcPr>
          <w:p w14:paraId="228F17E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p>
        </w:tc>
      </w:tr>
      <w:tr w14:paraId="73BA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4C5BBAEB">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restart"/>
            <w:tcBorders>
              <w:top w:val="nil"/>
              <w:left w:val="single" w:color="auto" w:sz="4" w:space="0"/>
              <w:bottom w:val="single" w:color="auto" w:sz="4" w:space="0"/>
              <w:right w:val="single" w:color="auto" w:sz="4" w:space="0"/>
            </w:tcBorders>
          </w:tcPr>
          <w:p w14:paraId="61B31892">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设计</w:t>
            </w:r>
            <w:r>
              <w:rPr>
                <w:rFonts w:hint="eastAsia" w:ascii="仿宋" w:hAnsi="仿宋" w:eastAsia="仿宋" w:cs="仿宋"/>
                <w:color w:val="auto"/>
                <w:sz w:val="28"/>
                <w:szCs w:val="28"/>
                <w:lang w:val="en-US" w:eastAsia="zh-CN"/>
              </w:rPr>
              <w:t>阶段</w:t>
            </w:r>
          </w:p>
        </w:tc>
        <w:tc>
          <w:tcPr>
            <w:tcW w:w="1668" w:type="pct"/>
            <w:tcBorders>
              <w:top w:val="single" w:color="auto" w:sz="4" w:space="0"/>
              <w:left w:val="single" w:color="auto" w:sz="4" w:space="0"/>
              <w:bottom w:val="single" w:color="auto" w:sz="4" w:space="0"/>
              <w:right w:val="single" w:color="auto" w:sz="4" w:space="0"/>
            </w:tcBorders>
          </w:tcPr>
          <w:p w14:paraId="21913C54">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系统设计</w:t>
            </w:r>
          </w:p>
        </w:tc>
        <w:tc>
          <w:tcPr>
            <w:tcW w:w="1189" w:type="pct"/>
            <w:tcBorders>
              <w:top w:val="single" w:color="auto" w:sz="4" w:space="0"/>
              <w:left w:val="single" w:color="auto" w:sz="4" w:space="0"/>
              <w:bottom w:val="single" w:color="auto" w:sz="4" w:space="0"/>
              <w:right w:val="single" w:color="auto" w:sz="4" w:space="0"/>
            </w:tcBorders>
          </w:tcPr>
          <w:p w14:paraId="2EDA6D95">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p>
        </w:tc>
      </w:tr>
      <w:tr w14:paraId="15EC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48B2DF64">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continue"/>
            <w:tcBorders>
              <w:top w:val="nil"/>
              <w:left w:val="single" w:color="auto" w:sz="4" w:space="0"/>
              <w:bottom w:val="single" w:color="auto" w:sz="4" w:space="0"/>
              <w:right w:val="single" w:color="auto" w:sz="4" w:space="0"/>
            </w:tcBorders>
            <w:vAlign w:val="center"/>
          </w:tcPr>
          <w:p w14:paraId="0EDF656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8"/>
                <w:szCs w:val="28"/>
              </w:rPr>
            </w:pPr>
          </w:p>
        </w:tc>
        <w:tc>
          <w:tcPr>
            <w:tcW w:w="1668" w:type="pct"/>
            <w:tcBorders>
              <w:top w:val="single" w:color="auto" w:sz="4" w:space="0"/>
              <w:left w:val="single" w:color="auto" w:sz="4" w:space="0"/>
              <w:bottom w:val="single" w:color="auto" w:sz="4" w:space="0"/>
              <w:right w:val="single" w:color="auto" w:sz="4" w:space="0"/>
            </w:tcBorders>
          </w:tcPr>
          <w:p w14:paraId="5DAC06F1">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详细设计</w:t>
            </w:r>
          </w:p>
        </w:tc>
        <w:tc>
          <w:tcPr>
            <w:tcW w:w="1189" w:type="pct"/>
            <w:tcBorders>
              <w:top w:val="single" w:color="auto" w:sz="4" w:space="0"/>
              <w:left w:val="single" w:color="auto" w:sz="4" w:space="0"/>
              <w:bottom w:val="single" w:color="auto" w:sz="4" w:space="0"/>
              <w:right w:val="single" w:color="auto" w:sz="4" w:space="0"/>
            </w:tcBorders>
          </w:tcPr>
          <w:p w14:paraId="71F0C64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p>
        </w:tc>
      </w:tr>
      <w:tr w14:paraId="12AE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24635F9D">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tcBorders>
              <w:top w:val="nil"/>
              <w:left w:val="single" w:color="auto" w:sz="4" w:space="0"/>
              <w:right w:val="single" w:color="auto" w:sz="4" w:space="0"/>
            </w:tcBorders>
            <w:vAlign w:val="center"/>
          </w:tcPr>
          <w:p w14:paraId="199D267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开发阶段</w:t>
            </w:r>
          </w:p>
        </w:tc>
        <w:tc>
          <w:tcPr>
            <w:tcW w:w="1668" w:type="pct"/>
            <w:tcBorders>
              <w:top w:val="single" w:color="auto" w:sz="4" w:space="0"/>
              <w:left w:val="single" w:color="auto" w:sz="4" w:space="0"/>
              <w:bottom w:val="single" w:color="auto" w:sz="4" w:space="0"/>
              <w:right w:val="single" w:color="auto" w:sz="4" w:space="0"/>
            </w:tcBorders>
            <w:vAlign w:val="top"/>
          </w:tcPr>
          <w:p w14:paraId="7A5D39F9">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系统开发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编码</w:t>
            </w:r>
          </w:p>
        </w:tc>
        <w:tc>
          <w:tcPr>
            <w:tcW w:w="1189" w:type="pct"/>
            <w:tcBorders>
              <w:top w:val="single" w:color="auto" w:sz="4" w:space="0"/>
              <w:left w:val="single" w:color="auto" w:sz="4" w:space="0"/>
              <w:bottom w:val="single" w:color="auto" w:sz="4" w:space="0"/>
              <w:right w:val="single" w:color="auto" w:sz="4" w:space="0"/>
            </w:tcBorders>
            <w:vAlign w:val="top"/>
          </w:tcPr>
          <w:p w14:paraId="3A94D8B1">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4月</w:t>
            </w:r>
          </w:p>
        </w:tc>
      </w:tr>
      <w:tr w14:paraId="237A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5BFE9677">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tcBorders>
              <w:left w:val="single" w:color="auto" w:sz="4" w:space="0"/>
              <w:bottom w:val="single" w:color="auto" w:sz="4" w:space="0"/>
              <w:right w:val="single" w:color="auto" w:sz="4" w:space="0"/>
            </w:tcBorders>
            <w:vAlign w:val="center"/>
          </w:tcPr>
          <w:p w14:paraId="1346F5C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测试阶段</w:t>
            </w:r>
          </w:p>
        </w:tc>
        <w:tc>
          <w:tcPr>
            <w:tcW w:w="1668" w:type="pct"/>
            <w:tcBorders>
              <w:top w:val="single" w:color="auto" w:sz="4" w:space="0"/>
              <w:left w:val="single" w:color="auto" w:sz="4" w:space="0"/>
              <w:bottom w:val="single" w:color="auto" w:sz="4" w:space="0"/>
              <w:right w:val="single" w:color="auto" w:sz="4" w:space="0"/>
            </w:tcBorders>
            <w:vAlign w:val="top"/>
          </w:tcPr>
          <w:p w14:paraId="57DA2E2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系统测试</w:t>
            </w:r>
          </w:p>
        </w:tc>
        <w:tc>
          <w:tcPr>
            <w:tcW w:w="1189" w:type="pct"/>
            <w:tcBorders>
              <w:top w:val="single" w:color="auto" w:sz="4" w:space="0"/>
              <w:left w:val="single" w:color="auto" w:sz="4" w:space="0"/>
              <w:bottom w:val="single" w:color="auto" w:sz="4" w:space="0"/>
              <w:right w:val="single" w:color="auto" w:sz="4" w:space="0"/>
            </w:tcBorders>
            <w:vAlign w:val="top"/>
          </w:tcPr>
          <w:p w14:paraId="21A012EF">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p>
        </w:tc>
      </w:tr>
      <w:tr w14:paraId="17F1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0F3A25DF">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restart"/>
            <w:tcBorders>
              <w:top w:val="nil"/>
              <w:left w:val="single" w:color="auto" w:sz="4" w:space="0"/>
              <w:right w:val="single" w:color="auto" w:sz="4" w:space="0"/>
            </w:tcBorders>
          </w:tcPr>
          <w:p w14:paraId="1D37C9BA">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实施与部署阶段</w:t>
            </w:r>
          </w:p>
        </w:tc>
        <w:tc>
          <w:tcPr>
            <w:tcW w:w="1668" w:type="pct"/>
            <w:tcBorders>
              <w:top w:val="single" w:color="auto" w:sz="4" w:space="0"/>
              <w:left w:val="single" w:color="auto" w:sz="4" w:space="0"/>
              <w:bottom w:val="single" w:color="auto" w:sz="4" w:space="0"/>
              <w:right w:val="single" w:color="auto" w:sz="4" w:space="0"/>
            </w:tcBorders>
          </w:tcPr>
          <w:p w14:paraId="7D3E865E">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系统安装部署</w:t>
            </w:r>
          </w:p>
        </w:tc>
        <w:tc>
          <w:tcPr>
            <w:tcW w:w="1189" w:type="pct"/>
            <w:tcBorders>
              <w:top w:val="single" w:color="auto" w:sz="4" w:space="0"/>
              <w:left w:val="single" w:color="auto" w:sz="4" w:space="0"/>
              <w:bottom w:val="single" w:color="auto" w:sz="4" w:space="0"/>
              <w:right w:val="single" w:color="auto" w:sz="4" w:space="0"/>
            </w:tcBorders>
          </w:tcPr>
          <w:p w14:paraId="0A418A01">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p>
        </w:tc>
      </w:tr>
      <w:tr w14:paraId="684B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13E0BCF5">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continue"/>
            <w:tcBorders>
              <w:left w:val="single" w:color="auto" w:sz="4" w:space="0"/>
              <w:right w:val="single" w:color="auto" w:sz="4" w:space="0"/>
            </w:tcBorders>
            <w:vAlign w:val="center"/>
          </w:tcPr>
          <w:p w14:paraId="7F05E6F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8"/>
                <w:szCs w:val="28"/>
              </w:rPr>
            </w:pPr>
          </w:p>
        </w:tc>
        <w:tc>
          <w:tcPr>
            <w:tcW w:w="1668" w:type="pct"/>
            <w:tcBorders>
              <w:top w:val="single" w:color="auto" w:sz="4" w:space="0"/>
              <w:left w:val="single" w:color="auto" w:sz="4" w:space="0"/>
              <w:bottom w:val="single" w:color="auto" w:sz="4" w:space="0"/>
              <w:right w:val="single" w:color="auto" w:sz="4" w:space="0"/>
            </w:tcBorders>
          </w:tcPr>
          <w:p w14:paraId="683D32B1">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系统上线</w:t>
            </w:r>
            <w:r>
              <w:rPr>
                <w:rFonts w:hint="eastAsia" w:ascii="仿宋" w:hAnsi="仿宋" w:eastAsia="仿宋" w:cs="仿宋"/>
                <w:color w:val="auto"/>
                <w:sz w:val="28"/>
                <w:szCs w:val="28"/>
                <w:lang w:val="en-US" w:eastAsia="zh-CN"/>
              </w:rPr>
              <w:t>并培训</w:t>
            </w:r>
          </w:p>
        </w:tc>
        <w:tc>
          <w:tcPr>
            <w:tcW w:w="1189" w:type="pct"/>
            <w:tcBorders>
              <w:top w:val="single" w:color="auto" w:sz="4" w:space="0"/>
              <w:left w:val="single" w:color="auto" w:sz="4" w:space="0"/>
              <w:bottom w:val="single" w:color="auto" w:sz="4" w:space="0"/>
              <w:right w:val="single" w:color="auto" w:sz="4" w:space="0"/>
            </w:tcBorders>
          </w:tcPr>
          <w:p w14:paraId="5DFF817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月</w:t>
            </w:r>
          </w:p>
        </w:tc>
      </w:tr>
      <w:tr w14:paraId="24CA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74" w:type="pct"/>
            <w:tcBorders>
              <w:top w:val="single" w:color="auto" w:sz="4" w:space="0"/>
              <w:left w:val="single" w:color="auto" w:sz="4" w:space="0"/>
              <w:bottom w:val="single" w:color="auto" w:sz="4" w:space="0"/>
              <w:right w:val="single" w:color="auto" w:sz="4" w:space="0"/>
            </w:tcBorders>
          </w:tcPr>
          <w:p w14:paraId="6229F0FE">
            <w:pPr>
              <w:keepNext w:val="0"/>
              <w:keepLines w:val="0"/>
              <w:pageBreakBefore w:val="0"/>
              <w:numPr>
                <w:ilvl w:val="0"/>
                <w:numId w:val="2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p>
        </w:tc>
        <w:tc>
          <w:tcPr>
            <w:tcW w:w="1668" w:type="pct"/>
            <w:vMerge w:val="continue"/>
            <w:tcBorders>
              <w:left w:val="single" w:color="auto" w:sz="4" w:space="0"/>
              <w:bottom w:val="single" w:color="auto" w:sz="4" w:space="0"/>
              <w:right w:val="single" w:color="auto" w:sz="4" w:space="0"/>
            </w:tcBorders>
            <w:vAlign w:val="center"/>
          </w:tcPr>
          <w:p w14:paraId="7B39DD8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8"/>
                <w:szCs w:val="28"/>
              </w:rPr>
            </w:pPr>
          </w:p>
        </w:tc>
        <w:tc>
          <w:tcPr>
            <w:tcW w:w="1668" w:type="pct"/>
            <w:tcBorders>
              <w:top w:val="single" w:color="auto" w:sz="4" w:space="0"/>
              <w:left w:val="single" w:color="auto" w:sz="4" w:space="0"/>
              <w:bottom w:val="single" w:color="auto" w:sz="4" w:space="0"/>
              <w:right w:val="single" w:color="auto" w:sz="4" w:space="0"/>
            </w:tcBorders>
          </w:tcPr>
          <w:p w14:paraId="7A7EFEC0">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试运行</w:t>
            </w:r>
          </w:p>
        </w:tc>
        <w:tc>
          <w:tcPr>
            <w:tcW w:w="1189" w:type="pct"/>
            <w:tcBorders>
              <w:top w:val="single" w:color="auto" w:sz="4" w:space="0"/>
              <w:left w:val="single" w:color="auto" w:sz="4" w:space="0"/>
              <w:bottom w:val="single" w:color="auto" w:sz="4" w:space="0"/>
              <w:right w:val="single" w:color="auto" w:sz="4" w:space="0"/>
            </w:tcBorders>
          </w:tcPr>
          <w:p w14:paraId="0CC30D48">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r>
    </w:tbl>
    <w:p w14:paraId="4D858B2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lang w:eastAsia="zh-CN"/>
        </w:rPr>
      </w:pPr>
      <w:r>
        <w:rPr>
          <w:rFonts w:hint="eastAsia"/>
          <w:lang w:eastAsia="zh-CN"/>
        </w:rPr>
        <w:t>项目服务要求</w:t>
      </w:r>
    </w:p>
    <w:p w14:paraId="1F95C3F1">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cs="仿宋_GB2312"/>
          <w:color w:val="auto"/>
          <w:sz w:val="32"/>
          <w:szCs w:val="32"/>
          <w:lang w:eastAsia="zh-CN"/>
        </w:rPr>
      </w:pPr>
      <w:r>
        <w:rPr>
          <w:rFonts w:hint="eastAsia" w:cs="仿宋_GB2312"/>
          <w:color w:val="auto"/>
          <w:sz w:val="32"/>
          <w:szCs w:val="32"/>
          <w:lang w:val="en-US" w:eastAsia="zh-CN"/>
        </w:rPr>
        <w:t>1.项目</w:t>
      </w:r>
      <w:r>
        <w:rPr>
          <w:rFonts w:hint="eastAsia" w:ascii="仿宋_GB2312" w:hAnsi="仿宋_GB2312" w:eastAsia="仿宋_GB2312" w:cs="仿宋_GB2312"/>
          <w:color w:val="auto"/>
          <w:sz w:val="32"/>
          <w:szCs w:val="32"/>
        </w:rPr>
        <w:t>开发团队人数为</w:t>
      </w:r>
      <w:r>
        <w:rPr>
          <w:rFonts w:hint="eastAsia" w:cs="仿宋_GB2312"/>
          <w:color w:val="auto"/>
          <w:sz w:val="32"/>
          <w:szCs w:val="32"/>
          <w:lang w:val="en-US" w:eastAsia="zh-CN"/>
        </w:rPr>
        <w:t>44</w:t>
      </w:r>
      <w:r>
        <w:rPr>
          <w:rFonts w:hint="eastAsia" w:ascii="仿宋_GB2312" w:hAnsi="仿宋_GB2312" w:eastAsia="仿宋_GB2312" w:cs="仿宋_GB2312"/>
          <w:color w:val="auto"/>
          <w:sz w:val="32"/>
          <w:szCs w:val="32"/>
        </w:rPr>
        <w:t>人</w:t>
      </w:r>
      <w:r>
        <w:rPr>
          <w:rFonts w:hint="eastAsia" w:cs="仿宋_GB2312"/>
          <w:color w:val="auto"/>
          <w:sz w:val="32"/>
          <w:szCs w:val="32"/>
          <w:lang w:eastAsia="zh-CN"/>
        </w:rPr>
        <w:t>，包含如下：</w:t>
      </w:r>
    </w:p>
    <w:p w14:paraId="06109E9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eastAsia="zh-CN"/>
        </w:rPr>
        <w:t>贵州省</w:t>
      </w:r>
      <w:r>
        <w:rPr>
          <w:rFonts w:hint="eastAsia" w:cs="仿宋_GB2312"/>
          <w:color w:val="auto"/>
          <w:szCs w:val="32"/>
          <w:lang w:eastAsia="zh-CN"/>
        </w:rPr>
        <w:t>社会保险</w:t>
      </w:r>
      <w:r>
        <w:rPr>
          <w:rFonts w:hint="eastAsia"/>
          <w:lang w:eastAsia="zh-CN"/>
        </w:rPr>
        <w:t>三险合一信息系统</w:t>
      </w:r>
      <w:r>
        <w:rPr>
          <w:rFonts w:hint="eastAsia"/>
          <w:lang w:val="en-US" w:eastAsia="zh-CN"/>
        </w:rPr>
        <w:t>改造</w:t>
      </w:r>
      <w:r>
        <w:rPr>
          <w:rFonts w:hint="eastAsia"/>
          <w:lang w:eastAsia="zh-CN"/>
        </w:rPr>
        <w:t>：</w:t>
      </w:r>
      <w:r>
        <w:rPr>
          <w:rFonts w:hint="eastAsia"/>
          <w:lang w:val="en-US" w:eastAsia="zh-CN"/>
        </w:rPr>
        <w:t>建设方需提供开发团队12人。</w:t>
      </w:r>
    </w:p>
    <w:p w14:paraId="54C8973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贵州省机关保及职业年金系统改造：建设方需提供开发团队10。</w:t>
      </w:r>
    </w:p>
    <w:p w14:paraId="7386352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贵州省社保</w:t>
      </w:r>
      <w:r>
        <w:rPr>
          <w:rFonts w:hint="eastAsia" w:cs="仿宋_GB2312"/>
          <w:color w:val="auto"/>
          <w:szCs w:val="32"/>
          <w:lang w:val="en-US" w:eastAsia="zh-CN"/>
        </w:rPr>
        <w:t>基金</w:t>
      </w:r>
      <w:r>
        <w:rPr>
          <w:rFonts w:hint="eastAsia"/>
          <w:lang w:val="en-US" w:eastAsia="zh-CN"/>
        </w:rPr>
        <w:t>财务管理系统改造：建设方需提供开发团队2人。</w:t>
      </w:r>
    </w:p>
    <w:p w14:paraId="6E7299C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lang w:val="en-US" w:eastAsia="zh-CN"/>
        </w:rPr>
        <w:t>贵州省</w:t>
      </w:r>
      <w:r>
        <w:rPr>
          <w:rFonts w:hint="eastAsia" w:cs="仿宋_GB2312"/>
          <w:color w:val="auto"/>
          <w:szCs w:val="32"/>
          <w:lang w:val="en-US" w:eastAsia="zh-CN"/>
        </w:rPr>
        <w:t>社会保险</w:t>
      </w:r>
      <w:r>
        <w:rPr>
          <w:rFonts w:hint="default"/>
          <w:lang w:val="en-US" w:eastAsia="zh-CN"/>
        </w:rPr>
        <w:t>网上服务系统改造：建设方需提供开发团队8人。</w:t>
      </w:r>
    </w:p>
    <w:p w14:paraId="748A50DB">
      <w:pPr>
        <w:pStyle w:val="13"/>
        <w:rPr>
          <w:rFonts w:hint="eastAsia"/>
          <w:lang w:val="en-US" w:eastAsia="zh-CN"/>
        </w:rPr>
      </w:pPr>
      <w:r>
        <w:rPr>
          <w:rFonts w:hint="eastAsia" w:ascii="仿宋" w:hAnsi="仿宋" w:eastAsia="仿宋"/>
          <w:color w:val="000000" w:themeColor="text1"/>
          <w:sz w:val="32"/>
          <w:szCs w:val="32"/>
          <w14:textFill>
            <w14:solidFill>
              <w14:schemeClr w14:val="tx1"/>
            </w14:solidFill>
          </w14:textFill>
        </w:rPr>
        <w:t>社会保险基金监管系统升级改造</w:t>
      </w:r>
      <w:r>
        <w:rPr>
          <w:rFonts w:hint="eastAsia"/>
          <w:lang w:val="en-US" w:eastAsia="zh-CN"/>
        </w:rPr>
        <w:t>：</w:t>
      </w:r>
      <w:r>
        <w:rPr>
          <w:rFonts w:hint="default"/>
          <w:lang w:val="en-US" w:eastAsia="zh-CN"/>
        </w:rPr>
        <w:t>建设方需提供开发团队</w:t>
      </w:r>
      <w:r>
        <w:rPr>
          <w:rFonts w:hint="eastAsia"/>
          <w:lang w:val="en-US" w:eastAsia="zh-CN"/>
        </w:rPr>
        <w:t>5</w:t>
      </w:r>
      <w:r>
        <w:rPr>
          <w:rFonts w:hint="default"/>
          <w:lang w:val="en-US" w:eastAsia="zh-CN"/>
        </w:rPr>
        <w:t>人。</w:t>
      </w:r>
    </w:p>
    <w:p w14:paraId="55743A96">
      <w:pPr>
        <w:pStyle w:val="13"/>
        <w:rPr>
          <w:rFonts w:hint="eastAsia" w:ascii="仿宋" w:hAnsi="仿宋" w:eastAsia="仿宋"/>
          <w:color w:val="000000" w:themeColor="text1"/>
          <w:szCs w:val="32"/>
          <w:lang w:val="en-US" w:eastAsia="zh-CN"/>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工伤认定劳动能力鉴定系统整合及功能完善：</w:t>
      </w:r>
      <w:r>
        <w:rPr>
          <w:rFonts w:hint="default"/>
          <w:lang w:val="en-US" w:eastAsia="zh-CN"/>
        </w:rPr>
        <w:t>建设方需提供开发团队</w:t>
      </w:r>
      <w:r>
        <w:rPr>
          <w:rFonts w:hint="eastAsia"/>
          <w:lang w:val="en-US" w:eastAsia="zh-CN"/>
        </w:rPr>
        <w:t>7</w:t>
      </w:r>
      <w:r>
        <w:rPr>
          <w:rFonts w:hint="default"/>
          <w:lang w:val="en-US" w:eastAsia="zh-CN"/>
        </w:rPr>
        <w:t>人。</w:t>
      </w:r>
    </w:p>
    <w:p w14:paraId="752301CE">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rPr>
        <w:t>本项目</w:t>
      </w:r>
      <w:r>
        <w:rPr>
          <w:rFonts w:hint="eastAsia" w:cs="仿宋_GB2312"/>
          <w:color w:val="auto"/>
          <w:sz w:val="32"/>
          <w:szCs w:val="32"/>
          <w:lang w:eastAsia="zh-CN"/>
        </w:rPr>
        <w:t>在建设完成后需提供</w:t>
      </w:r>
      <w:r>
        <w:rPr>
          <w:rFonts w:hint="eastAsia" w:ascii="仿宋_GB2312" w:hAnsi="仿宋_GB2312" w:eastAsia="仿宋_GB2312" w:cs="仿宋_GB2312"/>
          <w:color w:val="auto"/>
          <w:sz w:val="32"/>
          <w:szCs w:val="32"/>
        </w:rPr>
        <w:t>1年质保期</w:t>
      </w:r>
      <w:r>
        <w:rPr>
          <w:rFonts w:hint="eastAsia" w:cs="仿宋_GB2312"/>
          <w:color w:val="auto"/>
          <w:sz w:val="32"/>
          <w:szCs w:val="32"/>
          <w:lang w:eastAsia="zh-CN"/>
        </w:rPr>
        <w:t>（质保期期间免费运维，</w:t>
      </w:r>
      <w:r>
        <w:rPr>
          <w:rFonts w:hint="eastAsia" w:ascii="仿宋_GB2312" w:hAnsi="仿宋_GB2312" w:eastAsia="仿宋_GB2312" w:cs="仿宋_GB2312"/>
          <w:color w:val="auto"/>
          <w:sz w:val="32"/>
          <w:szCs w:val="32"/>
        </w:rPr>
        <w:t>自项目终验合格之日起计</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。质保期内，建设单位提供</w:t>
      </w:r>
      <w:r>
        <w:rPr>
          <w:rFonts w:hint="eastAsia" w:cs="仿宋_GB2312"/>
          <w:color w:val="auto"/>
          <w:sz w:val="32"/>
          <w:szCs w:val="32"/>
          <w:lang w:eastAsia="zh-CN"/>
        </w:rPr>
        <w:t>系统运行保障、系统优化完善、数据</w:t>
      </w:r>
      <w:r>
        <w:rPr>
          <w:rFonts w:hint="eastAsia" w:ascii="仿宋_GB2312" w:hAnsi="仿宋_GB2312" w:eastAsia="仿宋_GB2312" w:cs="仿宋_GB2312"/>
          <w:color w:val="auto"/>
          <w:sz w:val="32"/>
          <w:szCs w:val="32"/>
        </w:rPr>
        <w:t>服务</w:t>
      </w:r>
      <w:r>
        <w:rPr>
          <w:rFonts w:hint="eastAsia" w:cs="仿宋_GB2312"/>
          <w:color w:val="auto"/>
          <w:sz w:val="32"/>
          <w:szCs w:val="32"/>
          <w:lang w:eastAsia="zh-CN"/>
        </w:rPr>
        <w:t>等</w:t>
      </w:r>
      <w:r>
        <w:rPr>
          <w:rFonts w:hint="eastAsia" w:ascii="仿宋_GB2312" w:hAnsi="仿宋_GB2312" w:eastAsia="仿宋_GB2312" w:cs="仿宋_GB2312"/>
          <w:color w:val="auto"/>
          <w:sz w:val="32"/>
          <w:szCs w:val="32"/>
        </w:rPr>
        <w:t>。质保期内，</w:t>
      </w:r>
      <w:r>
        <w:rPr>
          <w:rFonts w:hint="eastAsia" w:cs="仿宋_GB2312"/>
          <w:color w:val="auto"/>
          <w:sz w:val="32"/>
          <w:szCs w:val="32"/>
          <w:lang w:eastAsia="zh-CN"/>
        </w:rPr>
        <w:t>驻场服务及远程服务人员按照现有系统运维标准予以保障。</w:t>
      </w:r>
    </w:p>
    <w:p w14:paraId="0C2BFF49">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Chars="200"/>
        <w:textAlignment w:val="auto"/>
        <w:outlineLvl w:val="0"/>
        <w:rPr>
          <w:rFonts w:hint="eastAsia"/>
          <w:lang w:eastAsia="zh-CN"/>
        </w:rPr>
      </w:pPr>
      <w:r>
        <w:rPr>
          <w:rFonts w:hint="eastAsia" w:ascii="黑体" w:hAnsi="黑体" w:eastAsia="黑体" w:cs="黑体"/>
          <w:lang w:eastAsia="zh-CN"/>
        </w:rPr>
        <w:t>六、项目预算</w:t>
      </w:r>
    </w:p>
    <w:p w14:paraId="796579E3">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cs="仿宋_GB2312"/>
          <w:color w:val="auto"/>
          <w:sz w:val="32"/>
          <w:szCs w:val="32"/>
          <w:lang w:val="en-US" w:eastAsia="zh-CN"/>
        </w:rPr>
        <w:t>项目</w:t>
      </w:r>
      <w:r>
        <w:rPr>
          <w:rFonts w:hint="eastAsia" w:ascii="仿宋_GB2312" w:hAnsi="仿宋_GB2312" w:eastAsia="仿宋_GB2312" w:cs="仿宋_GB2312"/>
          <w:color w:val="auto"/>
          <w:sz w:val="32"/>
          <w:szCs w:val="32"/>
        </w:rPr>
        <w:t>需包含方案设计费、项目监理费、项目测评费</w:t>
      </w:r>
      <w:r>
        <w:rPr>
          <w:rFonts w:hint="eastAsia" w:cs="仿宋_GB2312"/>
          <w:color w:val="auto"/>
          <w:sz w:val="32"/>
          <w:szCs w:val="32"/>
          <w:lang w:eastAsia="zh-CN"/>
        </w:rPr>
        <w:t>（</w:t>
      </w:r>
      <w:r>
        <w:rPr>
          <w:rFonts w:hint="eastAsia" w:cs="仿宋_GB2312"/>
          <w:color w:val="auto"/>
          <w:sz w:val="32"/>
          <w:szCs w:val="32"/>
          <w:lang w:val="en-US" w:eastAsia="zh-CN"/>
        </w:rPr>
        <w:t>含第三方软件测试费用、等保测评费、密码测评费</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等相关</w:t>
      </w:r>
      <w:r>
        <w:rPr>
          <w:rFonts w:hint="eastAsia" w:cs="仿宋_GB2312"/>
          <w:color w:val="auto"/>
          <w:sz w:val="32"/>
          <w:szCs w:val="32"/>
          <w:lang w:val="en-US" w:eastAsia="zh-CN"/>
        </w:rPr>
        <w:t>费用及工作</w:t>
      </w:r>
      <w:r>
        <w:rPr>
          <w:rFonts w:hint="eastAsia" w:ascii="仿宋_GB2312" w:hAnsi="仿宋_GB2312" w:eastAsia="仿宋_GB2312" w:cs="仿宋_GB2312"/>
          <w:color w:val="auto"/>
          <w:sz w:val="32"/>
          <w:szCs w:val="32"/>
        </w:rPr>
        <w:t>。</w:t>
      </w:r>
    </w:p>
    <w:p w14:paraId="6B5350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C28B7"/>
    <w:multiLevelType w:val="singleLevel"/>
    <w:tmpl w:val="816C28B7"/>
    <w:lvl w:ilvl="0" w:tentative="0">
      <w:start w:val="1"/>
      <w:numFmt w:val="decimal"/>
      <w:lvlText w:val="(%1)"/>
      <w:lvlJc w:val="left"/>
      <w:pPr>
        <w:ind w:left="425" w:hanging="425"/>
      </w:pPr>
      <w:rPr>
        <w:rFonts w:hint="default" w:ascii="仿宋_GB2312" w:hAnsi="仿宋_GB2312" w:eastAsia="仿宋_GB2312" w:cs="仿宋_GB2312"/>
        <w:b w:val="0"/>
        <w:bCs w:val="0"/>
        <w:color w:val="auto"/>
        <w:sz w:val="32"/>
        <w:szCs w:val="32"/>
      </w:rPr>
    </w:lvl>
  </w:abstractNum>
  <w:abstractNum w:abstractNumId="1">
    <w:nsid w:val="9543B970"/>
    <w:multiLevelType w:val="singleLevel"/>
    <w:tmpl w:val="9543B970"/>
    <w:lvl w:ilvl="0" w:tentative="0">
      <w:start w:val="1"/>
      <w:numFmt w:val="decimal"/>
      <w:pStyle w:val="6"/>
      <w:suff w:val="nothing"/>
      <w:lvlText w:val="%1."/>
      <w:lvlJc w:val="left"/>
      <w:pPr>
        <w:tabs>
          <w:tab w:val="left" w:pos="0"/>
        </w:tabs>
        <w:ind w:left="0" w:leftChars="0" w:firstLine="0" w:firstLineChars="0"/>
      </w:pPr>
      <w:rPr>
        <w:rFonts w:hint="default"/>
      </w:rPr>
    </w:lvl>
  </w:abstractNum>
  <w:abstractNum w:abstractNumId="2">
    <w:nsid w:val="9DA82271"/>
    <w:multiLevelType w:val="singleLevel"/>
    <w:tmpl w:val="9DA82271"/>
    <w:lvl w:ilvl="0" w:tentative="0">
      <w:start w:val="1"/>
      <w:numFmt w:val="decimal"/>
      <w:pStyle w:val="7"/>
      <w:lvlText w:val="(%1)"/>
      <w:lvlJc w:val="left"/>
      <w:pPr>
        <w:tabs>
          <w:tab w:val="left" w:pos="0"/>
        </w:tabs>
        <w:ind w:left="0" w:leftChars="0" w:firstLine="0" w:firstLineChars="0"/>
      </w:pPr>
      <w:rPr>
        <w:rFonts w:hint="default"/>
      </w:rPr>
    </w:lvl>
  </w:abstractNum>
  <w:abstractNum w:abstractNumId="3">
    <w:nsid w:val="A6AF33E5"/>
    <w:multiLevelType w:val="singleLevel"/>
    <w:tmpl w:val="A6AF33E5"/>
    <w:lvl w:ilvl="0" w:tentative="0">
      <w:start w:val="1"/>
      <w:numFmt w:val="decimalEnclosedCircleChinese"/>
      <w:pStyle w:val="9"/>
      <w:suff w:val="nothing"/>
      <w:lvlText w:val="%1"/>
      <w:lvlJc w:val="left"/>
      <w:pPr>
        <w:tabs>
          <w:tab w:val="left" w:pos="0"/>
        </w:tabs>
        <w:ind w:left="0" w:firstLine="400"/>
      </w:pPr>
      <w:rPr>
        <w:rFonts w:hint="eastAsia" w:ascii="宋体" w:hAnsi="宋体" w:cs="宋体"/>
        <w:sz w:val="32"/>
        <w:szCs w:val="32"/>
      </w:rPr>
    </w:lvl>
  </w:abstractNum>
  <w:abstractNum w:abstractNumId="4">
    <w:nsid w:val="BDC346B4"/>
    <w:multiLevelType w:val="singleLevel"/>
    <w:tmpl w:val="BDC346B4"/>
    <w:lvl w:ilvl="0" w:tentative="0">
      <w:start w:val="1"/>
      <w:numFmt w:val="chineseCounting"/>
      <w:pStyle w:val="4"/>
      <w:suff w:val="nothing"/>
      <w:lvlText w:val="%1、"/>
      <w:lvlJc w:val="left"/>
      <w:pPr>
        <w:ind w:left="0" w:firstLine="420"/>
      </w:pPr>
      <w:rPr>
        <w:rFonts w:hint="eastAsia"/>
      </w:rPr>
    </w:lvl>
  </w:abstractNum>
  <w:abstractNum w:abstractNumId="5">
    <w:nsid w:val="EAFF503D"/>
    <w:multiLevelType w:val="singleLevel"/>
    <w:tmpl w:val="EAFF503D"/>
    <w:lvl w:ilvl="0" w:tentative="0">
      <w:start w:val="1"/>
      <w:numFmt w:val="decimal"/>
      <w:lvlText w:val="%1."/>
      <w:lvlJc w:val="left"/>
      <w:pPr>
        <w:tabs>
          <w:tab w:val="left" w:pos="312"/>
        </w:tabs>
      </w:pPr>
    </w:lvl>
  </w:abstractNum>
  <w:abstractNum w:abstractNumId="6">
    <w:nsid w:val="FEFECEC4"/>
    <w:multiLevelType w:val="singleLevel"/>
    <w:tmpl w:val="FEFECEC4"/>
    <w:lvl w:ilvl="0" w:tentative="0">
      <w:start w:val="3"/>
      <w:numFmt w:val="decimal"/>
      <w:lvlText w:val="%1."/>
      <w:lvlJc w:val="left"/>
      <w:pPr>
        <w:tabs>
          <w:tab w:val="left" w:pos="312"/>
        </w:tabs>
      </w:pPr>
    </w:lvl>
  </w:abstractNum>
  <w:abstractNum w:abstractNumId="7">
    <w:nsid w:val="03D825D4"/>
    <w:multiLevelType w:val="multilevel"/>
    <w:tmpl w:val="03D825D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0735FFF5"/>
    <w:multiLevelType w:val="singleLevel"/>
    <w:tmpl w:val="0735FFF5"/>
    <w:lvl w:ilvl="0" w:tentative="0">
      <w:start w:val="1"/>
      <w:numFmt w:val="lowerLetter"/>
      <w:pStyle w:val="8"/>
      <w:suff w:val="nothing"/>
      <w:lvlText w:val="%1."/>
      <w:lvlJc w:val="left"/>
      <w:pPr>
        <w:tabs>
          <w:tab w:val="left" w:pos="0"/>
        </w:tabs>
        <w:ind w:left="0" w:leftChars="0" w:firstLine="0" w:firstLineChars="0"/>
      </w:pPr>
      <w:rPr>
        <w:rFonts w:hint="default"/>
      </w:rPr>
    </w:lvl>
  </w:abstractNum>
  <w:abstractNum w:abstractNumId="9">
    <w:nsid w:val="0AF1935F"/>
    <w:multiLevelType w:val="singleLevel"/>
    <w:tmpl w:val="0AF1935F"/>
    <w:lvl w:ilvl="0" w:tentative="0">
      <w:start w:val="1"/>
      <w:numFmt w:val="decimal"/>
      <w:suff w:val="nothing"/>
      <w:lvlText w:val="%1"/>
      <w:lvlJc w:val="left"/>
      <w:pPr>
        <w:ind w:left="0" w:firstLine="403"/>
      </w:pPr>
      <w:rPr>
        <w:rFonts w:hint="default"/>
      </w:rPr>
    </w:lvl>
  </w:abstractNum>
  <w:abstractNum w:abstractNumId="10">
    <w:nsid w:val="168E02DE"/>
    <w:multiLevelType w:val="multilevel"/>
    <w:tmpl w:val="168E02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35F0E7"/>
    <w:multiLevelType w:val="singleLevel"/>
    <w:tmpl w:val="3435F0E7"/>
    <w:lvl w:ilvl="0" w:tentative="0">
      <w:start w:val="1"/>
      <w:numFmt w:val="decimal"/>
      <w:lvlText w:val="%1"/>
      <w:lvlJc w:val="left"/>
      <w:pPr>
        <w:tabs>
          <w:tab w:val="left" w:pos="420"/>
        </w:tabs>
        <w:ind w:left="425" w:leftChars="0" w:hanging="425" w:firstLineChars="0"/>
      </w:pPr>
      <w:rPr>
        <w:rFonts w:hint="default"/>
      </w:rPr>
    </w:lvl>
  </w:abstractNum>
  <w:abstractNum w:abstractNumId="12">
    <w:nsid w:val="3B1560C3"/>
    <w:multiLevelType w:val="singleLevel"/>
    <w:tmpl w:val="3B1560C3"/>
    <w:lvl w:ilvl="0" w:tentative="0">
      <w:start w:val="1"/>
      <w:numFmt w:val="chineseCounting"/>
      <w:pStyle w:val="5"/>
      <w:suff w:val="nothing"/>
      <w:lvlText w:val="（%1）"/>
      <w:lvlJc w:val="left"/>
      <w:pPr>
        <w:tabs>
          <w:tab w:val="left" w:pos="0"/>
        </w:tabs>
        <w:ind w:left="420" w:leftChars="0" w:hanging="420" w:firstLineChars="0"/>
      </w:pPr>
      <w:rPr>
        <w:rFonts w:hint="eastAsia" w:eastAsia="楷体_GB2312"/>
        <w:sz w:val="32"/>
      </w:rPr>
    </w:lvl>
  </w:abstractNum>
  <w:abstractNum w:abstractNumId="13">
    <w:nsid w:val="46D76FFE"/>
    <w:multiLevelType w:val="multilevel"/>
    <w:tmpl w:val="46D76F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76694D"/>
    <w:multiLevelType w:val="singleLevel"/>
    <w:tmpl w:val="4D76694D"/>
    <w:lvl w:ilvl="0" w:tentative="0">
      <w:start w:val="1"/>
      <w:numFmt w:val="upperLetter"/>
      <w:pStyle w:val="10"/>
      <w:lvlText w:val="%1."/>
      <w:lvlJc w:val="left"/>
      <w:pPr>
        <w:ind w:left="425" w:hanging="425"/>
      </w:pPr>
      <w:rPr>
        <w:rFonts w:hint="default"/>
      </w:rPr>
    </w:lvl>
  </w:abstractNum>
  <w:abstractNum w:abstractNumId="15">
    <w:nsid w:val="5305890F"/>
    <w:multiLevelType w:val="multilevel"/>
    <w:tmpl w:val="530589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7C5357"/>
    <w:multiLevelType w:val="multilevel"/>
    <w:tmpl w:val="587C53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94971AD"/>
    <w:multiLevelType w:val="singleLevel"/>
    <w:tmpl w:val="694971AD"/>
    <w:lvl w:ilvl="0" w:tentative="0">
      <w:start w:val="1"/>
      <w:numFmt w:val="decimal"/>
      <w:lvlText w:val="%1"/>
      <w:lvlJc w:val="left"/>
      <w:pPr>
        <w:tabs>
          <w:tab w:val="left" w:pos="420"/>
        </w:tabs>
        <w:ind w:left="425" w:leftChars="0" w:hanging="425" w:firstLineChars="0"/>
      </w:pPr>
      <w:rPr>
        <w:rFonts w:hint="default"/>
      </w:rPr>
    </w:lvl>
  </w:abstractNum>
  <w:abstractNum w:abstractNumId="18">
    <w:nsid w:val="778AAF71"/>
    <w:multiLevelType w:val="singleLevel"/>
    <w:tmpl w:val="778AAF71"/>
    <w:lvl w:ilvl="0" w:tentative="0">
      <w:start w:val="1"/>
      <w:numFmt w:val="decimal"/>
      <w:lvlText w:val="%1"/>
      <w:lvlJc w:val="left"/>
      <w:pPr>
        <w:tabs>
          <w:tab w:val="left" w:pos="420"/>
        </w:tabs>
        <w:ind w:left="425" w:leftChars="0" w:hanging="425" w:firstLineChars="0"/>
      </w:pPr>
      <w:rPr>
        <w:rFonts w:hint="default"/>
      </w:rPr>
    </w:lvl>
  </w:abstractNum>
  <w:num w:numId="1">
    <w:abstractNumId w:val="4"/>
  </w:num>
  <w:num w:numId="2">
    <w:abstractNumId w:val="12"/>
    <w:lvlOverride w:ilvl="0">
      <w:startOverride w:val="1"/>
    </w:lvlOverride>
  </w:num>
  <w:num w:numId="3">
    <w:abstractNumId w:val="1"/>
  </w:num>
  <w:num w:numId="4">
    <w:abstractNumId w:val="2"/>
  </w:num>
  <w:num w:numId="5">
    <w:abstractNumId w:val="8"/>
  </w:num>
  <w:num w:numId="6">
    <w:abstractNumId w:val="3"/>
  </w:num>
  <w:num w:numId="7">
    <w:abstractNumId w:val="14"/>
  </w:num>
  <w:num w:numId="8">
    <w:abstractNumId w:val="12"/>
    <w:lvlOverride w:ilvl="0">
      <w:startOverride w:val="1"/>
    </w:lvlOverride>
  </w:num>
  <w:num w:numId="9">
    <w:abstractNumId w:val="6"/>
  </w:num>
  <w:num w:numId="10">
    <w:abstractNumId w:val="12"/>
    <w:lvlOverride w:ilvl="0">
      <w:startOverride w:val="1"/>
    </w:lvlOverride>
  </w:num>
  <w:num w:numId="11">
    <w:abstractNumId w:val="10"/>
  </w:num>
  <w:num w:numId="12">
    <w:abstractNumId w:val="13"/>
  </w:num>
  <w:num w:numId="13">
    <w:abstractNumId w:val="15"/>
  </w:num>
  <w:num w:numId="14">
    <w:abstractNumId w:val="16"/>
  </w:num>
  <w:num w:numId="15">
    <w:abstractNumId w:val="5"/>
  </w:num>
  <w:num w:numId="16">
    <w:abstractNumId w:val="0"/>
    <w:lvlOverride w:ilvl="0">
      <w:startOverride w:val="1"/>
    </w:lvlOverride>
  </w:num>
  <w:num w:numId="17">
    <w:abstractNumId w:val="11"/>
  </w:num>
  <w:num w:numId="18">
    <w:abstractNumId w:val="17"/>
  </w:num>
  <w:num w:numId="19">
    <w:abstractNumId w:val="9"/>
  </w:num>
  <w:num w:numId="20">
    <w:abstractNumId w:val="18"/>
  </w:num>
  <w:num w:numId="21">
    <w:abstractNumId w:val="12"/>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rson w15:author="溪云">
    <w15:presenceInfo w15:providerId="WPS Office" w15:userId="80786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274C"/>
    <w:rsid w:val="0019660B"/>
    <w:rsid w:val="001E3ACD"/>
    <w:rsid w:val="003B5817"/>
    <w:rsid w:val="004B4B6E"/>
    <w:rsid w:val="007340F3"/>
    <w:rsid w:val="008F4C42"/>
    <w:rsid w:val="00A83AD0"/>
    <w:rsid w:val="00DE798D"/>
    <w:rsid w:val="010D6029"/>
    <w:rsid w:val="01840163"/>
    <w:rsid w:val="03457CFC"/>
    <w:rsid w:val="04402F82"/>
    <w:rsid w:val="04785EAF"/>
    <w:rsid w:val="04B677A5"/>
    <w:rsid w:val="04D37589"/>
    <w:rsid w:val="04E62E18"/>
    <w:rsid w:val="04F33787"/>
    <w:rsid w:val="04F82B4C"/>
    <w:rsid w:val="05266F1A"/>
    <w:rsid w:val="056D52E8"/>
    <w:rsid w:val="06745740"/>
    <w:rsid w:val="06856661"/>
    <w:rsid w:val="06915006"/>
    <w:rsid w:val="06A250DE"/>
    <w:rsid w:val="06B57A34"/>
    <w:rsid w:val="074E5C56"/>
    <w:rsid w:val="07972E61"/>
    <w:rsid w:val="07D77390"/>
    <w:rsid w:val="08D51B22"/>
    <w:rsid w:val="09F07868"/>
    <w:rsid w:val="0B1B7594"/>
    <w:rsid w:val="0B1C57E6"/>
    <w:rsid w:val="0B6E283A"/>
    <w:rsid w:val="0B8B1E21"/>
    <w:rsid w:val="0B906E7A"/>
    <w:rsid w:val="0BA137A0"/>
    <w:rsid w:val="0BA13F3D"/>
    <w:rsid w:val="0C1110C3"/>
    <w:rsid w:val="0C5C7E64"/>
    <w:rsid w:val="0CEC11E8"/>
    <w:rsid w:val="0D156991"/>
    <w:rsid w:val="0D2C2CD7"/>
    <w:rsid w:val="0D9A0C44"/>
    <w:rsid w:val="0E604C0E"/>
    <w:rsid w:val="0ECC7523"/>
    <w:rsid w:val="0ED11BAB"/>
    <w:rsid w:val="0F2F5C8E"/>
    <w:rsid w:val="0F503CB0"/>
    <w:rsid w:val="0F995E5A"/>
    <w:rsid w:val="10B6218A"/>
    <w:rsid w:val="10EE19D3"/>
    <w:rsid w:val="112B2658"/>
    <w:rsid w:val="114527DF"/>
    <w:rsid w:val="126724F5"/>
    <w:rsid w:val="13031039"/>
    <w:rsid w:val="13295F06"/>
    <w:rsid w:val="133A3837"/>
    <w:rsid w:val="13ADDD67"/>
    <w:rsid w:val="13EA44AB"/>
    <w:rsid w:val="14266164"/>
    <w:rsid w:val="147E2E8F"/>
    <w:rsid w:val="14D40957"/>
    <w:rsid w:val="155B5397"/>
    <w:rsid w:val="15A98BA1"/>
    <w:rsid w:val="15AB5606"/>
    <w:rsid w:val="15B821EC"/>
    <w:rsid w:val="16456A99"/>
    <w:rsid w:val="16E66CA8"/>
    <w:rsid w:val="16F07B27"/>
    <w:rsid w:val="17E2752A"/>
    <w:rsid w:val="182269A3"/>
    <w:rsid w:val="18512847"/>
    <w:rsid w:val="189D2014"/>
    <w:rsid w:val="18B44BA2"/>
    <w:rsid w:val="18E1784D"/>
    <w:rsid w:val="1979120B"/>
    <w:rsid w:val="198A3EBF"/>
    <w:rsid w:val="19F3005A"/>
    <w:rsid w:val="1A633975"/>
    <w:rsid w:val="1A6730CB"/>
    <w:rsid w:val="1AB67F3C"/>
    <w:rsid w:val="1AED589C"/>
    <w:rsid w:val="1B283D33"/>
    <w:rsid w:val="1B63131E"/>
    <w:rsid w:val="1B9C202B"/>
    <w:rsid w:val="1BB630ED"/>
    <w:rsid w:val="1C3B5CE8"/>
    <w:rsid w:val="1C4921B3"/>
    <w:rsid w:val="1CA75DB5"/>
    <w:rsid w:val="1CE92E80"/>
    <w:rsid w:val="1CFB6D5C"/>
    <w:rsid w:val="1D5D3571"/>
    <w:rsid w:val="1D7C7A6F"/>
    <w:rsid w:val="1D7D7C14"/>
    <w:rsid w:val="1DB461A4"/>
    <w:rsid w:val="1DEA7528"/>
    <w:rsid w:val="1DFF5F4C"/>
    <w:rsid w:val="1E683688"/>
    <w:rsid w:val="1EA55B95"/>
    <w:rsid w:val="1EB25049"/>
    <w:rsid w:val="1F106FB8"/>
    <w:rsid w:val="1F724A2A"/>
    <w:rsid w:val="1FEB1EB9"/>
    <w:rsid w:val="20611F75"/>
    <w:rsid w:val="209C3810"/>
    <w:rsid w:val="211D776A"/>
    <w:rsid w:val="21DF31DB"/>
    <w:rsid w:val="228427BA"/>
    <w:rsid w:val="22B8040C"/>
    <w:rsid w:val="236F87A4"/>
    <w:rsid w:val="23AB4371"/>
    <w:rsid w:val="2457053F"/>
    <w:rsid w:val="24E62810"/>
    <w:rsid w:val="2570001A"/>
    <w:rsid w:val="25A58F2A"/>
    <w:rsid w:val="25CC7436"/>
    <w:rsid w:val="262477ED"/>
    <w:rsid w:val="26A958A9"/>
    <w:rsid w:val="26BD0F40"/>
    <w:rsid w:val="26D82EDD"/>
    <w:rsid w:val="27507C1B"/>
    <w:rsid w:val="27FFE398"/>
    <w:rsid w:val="280E605F"/>
    <w:rsid w:val="28B9421C"/>
    <w:rsid w:val="292C49EE"/>
    <w:rsid w:val="2A554419"/>
    <w:rsid w:val="2A881651"/>
    <w:rsid w:val="2B25359E"/>
    <w:rsid w:val="2B324CAE"/>
    <w:rsid w:val="2B5B5A5F"/>
    <w:rsid w:val="2B91664C"/>
    <w:rsid w:val="2C1F0303"/>
    <w:rsid w:val="2CA4032A"/>
    <w:rsid w:val="2E2B3A60"/>
    <w:rsid w:val="2E726C54"/>
    <w:rsid w:val="2EB063D1"/>
    <w:rsid w:val="2ECD46EC"/>
    <w:rsid w:val="2EFBF505"/>
    <w:rsid w:val="2FDF3CCE"/>
    <w:rsid w:val="2FEA1F18"/>
    <w:rsid w:val="2FFEEA1D"/>
    <w:rsid w:val="30432BEE"/>
    <w:rsid w:val="314F3970"/>
    <w:rsid w:val="316D50DA"/>
    <w:rsid w:val="32170BF7"/>
    <w:rsid w:val="32286D85"/>
    <w:rsid w:val="33150BE9"/>
    <w:rsid w:val="33FF0AE0"/>
    <w:rsid w:val="346E2CC8"/>
    <w:rsid w:val="34A17804"/>
    <w:rsid w:val="34AE5D0E"/>
    <w:rsid w:val="34D83C7C"/>
    <w:rsid w:val="351844BA"/>
    <w:rsid w:val="35502267"/>
    <w:rsid w:val="356111F2"/>
    <w:rsid w:val="356D0868"/>
    <w:rsid w:val="35BB537C"/>
    <w:rsid w:val="35C60438"/>
    <w:rsid w:val="35D65BD5"/>
    <w:rsid w:val="36A04C6E"/>
    <w:rsid w:val="36FF8FA1"/>
    <w:rsid w:val="3769513E"/>
    <w:rsid w:val="377163B4"/>
    <w:rsid w:val="37D82760"/>
    <w:rsid w:val="37E7B449"/>
    <w:rsid w:val="384D115E"/>
    <w:rsid w:val="387E5850"/>
    <w:rsid w:val="38A33B36"/>
    <w:rsid w:val="38A65E3F"/>
    <w:rsid w:val="38FF3ECD"/>
    <w:rsid w:val="390E4F3A"/>
    <w:rsid w:val="39664980"/>
    <w:rsid w:val="39DFC40C"/>
    <w:rsid w:val="3AA56F5F"/>
    <w:rsid w:val="3BC13DD2"/>
    <w:rsid w:val="3BC42FD5"/>
    <w:rsid w:val="3C123F18"/>
    <w:rsid w:val="3C2108FE"/>
    <w:rsid w:val="3C372707"/>
    <w:rsid w:val="3C5F6B99"/>
    <w:rsid w:val="3D597924"/>
    <w:rsid w:val="3DAE5D24"/>
    <w:rsid w:val="3DBE7FAD"/>
    <w:rsid w:val="3DD50725"/>
    <w:rsid w:val="3DDFB8E5"/>
    <w:rsid w:val="3E306B06"/>
    <w:rsid w:val="3E5527E2"/>
    <w:rsid w:val="3E6959B2"/>
    <w:rsid w:val="3E927592"/>
    <w:rsid w:val="3EA0113F"/>
    <w:rsid w:val="3EBFF798"/>
    <w:rsid w:val="3ED7837B"/>
    <w:rsid w:val="3F177A97"/>
    <w:rsid w:val="3F4B35C9"/>
    <w:rsid w:val="3F6E19DD"/>
    <w:rsid w:val="3F6E7BDA"/>
    <w:rsid w:val="3F6F79DB"/>
    <w:rsid w:val="3F7B8863"/>
    <w:rsid w:val="3F940D9B"/>
    <w:rsid w:val="3FA46429"/>
    <w:rsid w:val="3FAE3F57"/>
    <w:rsid w:val="3FEDE00C"/>
    <w:rsid w:val="3FEF06DD"/>
    <w:rsid w:val="3FFE372C"/>
    <w:rsid w:val="3FFED11E"/>
    <w:rsid w:val="4029BD4A"/>
    <w:rsid w:val="40786313"/>
    <w:rsid w:val="40970E8F"/>
    <w:rsid w:val="40A72080"/>
    <w:rsid w:val="40B90577"/>
    <w:rsid w:val="41124C6E"/>
    <w:rsid w:val="41B22014"/>
    <w:rsid w:val="41FB2489"/>
    <w:rsid w:val="42FE6FA4"/>
    <w:rsid w:val="43791B45"/>
    <w:rsid w:val="43B52A13"/>
    <w:rsid w:val="43BEF35F"/>
    <w:rsid w:val="444E4F44"/>
    <w:rsid w:val="448C0D3E"/>
    <w:rsid w:val="44F02CC1"/>
    <w:rsid w:val="4559188F"/>
    <w:rsid w:val="45750856"/>
    <w:rsid w:val="45A520EF"/>
    <w:rsid w:val="45C734A1"/>
    <w:rsid w:val="45D91E81"/>
    <w:rsid w:val="45DFA337"/>
    <w:rsid w:val="45F4468E"/>
    <w:rsid w:val="468550D3"/>
    <w:rsid w:val="479E0D55"/>
    <w:rsid w:val="47F60B91"/>
    <w:rsid w:val="487E1548"/>
    <w:rsid w:val="488C5052"/>
    <w:rsid w:val="48FA3D14"/>
    <w:rsid w:val="49132E26"/>
    <w:rsid w:val="491F7C74"/>
    <w:rsid w:val="49451DE7"/>
    <w:rsid w:val="49B938BB"/>
    <w:rsid w:val="4A10152C"/>
    <w:rsid w:val="4A5C52FC"/>
    <w:rsid w:val="4A683069"/>
    <w:rsid w:val="4AA82E5E"/>
    <w:rsid w:val="4ADB5E1D"/>
    <w:rsid w:val="4B160CB1"/>
    <w:rsid w:val="4B201A81"/>
    <w:rsid w:val="4B410FE9"/>
    <w:rsid w:val="4B810772"/>
    <w:rsid w:val="4BF9963C"/>
    <w:rsid w:val="4C24008A"/>
    <w:rsid w:val="4C577E8B"/>
    <w:rsid w:val="4C815A7C"/>
    <w:rsid w:val="4D713305"/>
    <w:rsid w:val="4E3F4E1B"/>
    <w:rsid w:val="4EB726FD"/>
    <w:rsid w:val="4F806F93"/>
    <w:rsid w:val="4F98540F"/>
    <w:rsid w:val="4FBB602C"/>
    <w:rsid w:val="4FC652ED"/>
    <w:rsid w:val="4FEF5D72"/>
    <w:rsid w:val="4FFB9B9B"/>
    <w:rsid w:val="4FFD66A6"/>
    <w:rsid w:val="4FFF120E"/>
    <w:rsid w:val="50311612"/>
    <w:rsid w:val="50EA500B"/>
    <w:rsid w:val="51152D51"/>
    <w:rsid w:val="51257F60"/>
    <w:rsid w:val="51BA678C"/>
    <w:rsid w:val="51D976E9"/>
    <w:rsid w:val="52285DEB"/>
    <w:rsid w:val="52CD6993"/>
    <w:rsid w:val="531B641F"/>
    <w:rsid w:val="53354452"/>
    <w:rsid w:val="53F64103"/>
    <w:rsid w:val="53FF4BF4"/>
    <w:rsid w:val="544467E1"/>
    <w:rsid w:val="551B67BD"/>
    <w:rsid w:val="55504B43"/>
    <w:rsid w:val="55931ABA"/>
    <w:rsid w:val="55BBAEB1"/>
    <w:rsid w:val="56D362EA"/>
    <w:rsid w:val="56FF25E2"/>
    <w:rsid w:val="573F3FB2"/>
    <w:rsid w:val="573F79EB"/>
    <w:rsid w:val="577A8591"/>
    <w:rsid w:val="57FFD1C1"/>
    <w:rsid w:val="57FFF427"/>
    <w:rsid w:val="580A1AEF"/>
    <w:rsid w:val="58B13C92"/>
    <w:rsid w:val="58E434F8"/>
    <w:rsid w:val="59007BF6"/>
    <w:rsid w:val="59367040"/>
    <w:rsid w:val="59E208A7"/>
    <w:rsid w:val="59FDAFFE"/>
    <w:rsid w:val="5A3D43FE"/>
    <w:rsid w:val="5A4822F3"/>
    <w:rsid w:val="5A5A6D5E"/>
    <w:rsid w:val="5A9F29C3"/>
    <w:rsid w:val="5AE523D4"/>
    <w:rsid w:val="5B3C6133"/>
    <w:rsid w:val="5B405245"/>
    <w:rsid w:val="5BBF4B05"/>
    <w:rsid w:val="5C6A117D"/>
    <w:rsid w:val="5C7165E1"/>
    <w:rsid w:val="5C7B2757"/>
    <w:rsid w:val="5D5F59D2"/>
    <w:rsid w:val="5D852344"/>
    <w:rsid w:val="5DDFAF75"/>
    <w:rsid w:val="5DFA625B"/>
    <w:rsid w:val="5DFD3270"/>
    <w:rsid w:val="5DFF3147"/>
    <w:rsid w:val="5EBA3B8B"/>
    <w:rsid w:val="5F1078F1"/>
    <w:rsid w:val="5F5F07FB"/>
    <w:rsid w:val="5F703FB4"/>
    <w:rsid w:val="5F775329"/>
    <w:rsid w:val="5FDB926D"/>
    <w:rsid w:val="5FEA46E0"/>
    <w:rsid w:val="5FFB9BBC"/>
    <w:rsid w:val="5FFDB27C"/>
    <w:rsid w:val="5FFF364F"/>
    <w:rsid w:val="600734E4"/>
    <w:rsid w:val="602868D2"/>
    <w:rsid w:val="628E2F58"/>
    <w:rsid w:val="62976078"/>
    <w:rsid w:val="62F35FA1"/>
    <w:rsid w:val="639C209F"/>
    <w:rsid w:val="64BDF707"/>
    <w:rsid w:val="64FE31AF"/>
    <w:rsid w:val="65D35C16"/>
    <w:rsid w:val="65D976D1"/>
    <w:rsid w:val="666B37FB"/>
    <w:rsid w:val="66D71736"/>
    <w:rsid w:val="6710294C"/>
    <w:rsid w:val="67D56A3C"/>
    <w:rsid w:val="67DF7C57"/>
    <w:rsid w:val="67F7504E"/>
    <w:rsid w:val="67FD622A"/>
    <w:rsid w:val="67FE814B"/>
    <w:rsid w:val="67FF97C2"/>
    <w:rsid w:val="68F31C6D"/>
    <w:rsid w:val="69205A17"/>
    <w:rsid w:val="69676DA1"/>
    <w:rsid w:val="69D94A39"/>
    <w:rsid w:val="69F133CB"/>
    <w:rsid w:val="69F50A9A"/>
    <w:rsid w:val="6A28229A"/>
    <w:rsid w:val="6BC75A91"/>
    <w:rsid w:val="6BDC4D7F"/>
    <w:rsid w:val="6BDC9040"/>
    <w:rsid w:val="6BDF4730"/>
    <w:rsid w:val="6BFBE388"/>
    <w:rsid w:val="6BFF5AF7"/>
    <w:rsid w:val="6C3D4C1D"/>
    <w:rsid w:val="6D5C5AB8"/>
    <w:rsid w:val="6D7FCABC"/>
    <w:rsid w:val="6DCF12D3"/>
    <w:rsid w:val="6DEFB937"/>
    <w:rsid w:val="6DFD4EA5"/>
    <w:rsid w:val="6EA12D56"/>
    <w:rsid w:val="6EA89DB1"/>
    <w:rsid w:val="6EEB3919"/>
    <w:rsid w:val="6EF76AA3"/>
    <w:rsid w:val="6EF84B28"/>
    <w:rsid w:val="6EFD95BF"/>
    <w:rsid w:val="6F2B7AE9"/>
    <w:rsid w:val="6F524050"/>
    <w:rsid w:val="6F56835C"/>
    <w:rsid w:val="6F730D2F"/>
    <w:rsid w:val="6F800D61"/>
    <w:rsid w:val="6F96F7D8"/>
    <w:rsid w:val="6FDE0E2F"/>
    <w:rsid w:val="6FDF9C16"/>
    <w:rsid w:val="6FFE0F9C"/>
    <w:rsid w:val="6FFF2E32"/>
    <w:rsid w:val="6FFF4FE8"/>
    <w:rsid w:val="704E0CBB"/>
    <w:rsid w:val="70AD4932"/>
    <w:rsid w:val="7159BC24"/>
    <w:rsid w:val="71BC663C"/>
    <w:rsid w:val="71BD519C"/>
    <w:rsid w:val="71BDA074"/>
    <w:rsid w:val="71D53A10"/>
    <w:rsid w:val="71FE401B"/>
    <w:rsid w:val="72244255"/>
    <w:rsid w:val="72FFAA4F"/>
    <w:rsid w:val="739B4366"/>
    <w:rsid w:val="73B17D39"/>
    <w:rsid w:val="73B67E80"/>
    <w:rsid w:val="73BC23E0"/>
    <w:rsid w:val="73E8793B"/>
    <w:rsid w:val="744068E6"/>
    <w:rsid w:val="74FF5708"/>
    <w:rsid w:val="75042235"/>
    <w:rsid w:val="75122046"/>
    <w:rsid w:val="75680129"/>
    <w:rsid w:val="763DD0C1"/>
    <w:rsid w:val="766C3C49"/>
    <w:rsid w:val="768F3DF2"/>
    <w:rsid w:val="76AEAEBD"/>
    <w:rsid w:val="771F0B8F"/>
    <w:rsid w:val="775C4687"/>
    <w:rsid w:val="7767B70E"/>
    <w:rsid w:val="77D777E8"/>
    <w:rsid w:val="77D77969"/>
    <w:rsid w:val="77DFC390"/>
    <w:rsid w:val="77F3A6BF"/>
    <w:rsid w:val="77FE7F0C"/>
    <w:rsid w:val="786328DF"/>
    <w:rsid w:val="796C1CBF"/>
    <w:rsid w:val="79BE1776"/>
    <w:rsid w:val="79DF3438"/>
    <w:rsid w:val="7A37631C"/>
    <w:rsid w:val="7AB84E03"/>
    <w:rsid w:val="7ACFB87A"/>
    <w:rsid w:val="7AD70CFE"/>
    <w:rsid w:val="7AF931E5"/>
    <w:rsid w:val="7B5569E4"/>
    <w:rsid w:val="7B6C0015"/>
    <w:rsid w:val="7B77CACD"/>
    <w:rsid w:val="7B8B7049"/>
    <w:rsid w:val="7BBFA6D2"/>
    <w:rsid w:val="7BFF999E"/>
    <w:rsid w:val="7CB83F86"/>
    <w:rsid w:val="7D2C3D7A"/>
    <w:rsid w:val="7D4B9EB0"/>
    <w:rsid w:val="7D587B7C"/>
    <w:rsid w:val="7D7004C3"/>
    <w:rsid w:val="7D77B2FE"/>
    <w:rsid w:val="7DAA03A9"/>
    <w:rsid w:val="7DBE1D6F"/>
    <w:rsid w:val="7DDFDA98"/>
    <w:rsid w:val="7DFB396C"/>
    <w:rsid w:val="7E3FD5EB"/>
    <w:rsid w:val="7E5F26DC"/>
    <w:rsid w:val="7E6F35C9"/>
    <w:rsid w:val="7E765A0A"/>
    <w:rsid w:val="7E7BDD74"/>
    <w:rsid w:val="7EBF4E92"/>
    <w:rsid w:val="7EC108AA"/>
    <w:rsid w:val="7EE54170"/>
    <w:rsid w:val="7EE7DC8C"/>
    <w:rsid w:val="7EF4C743"/>
    <w:rsid w:val="7EF524F3"/>
    <w:rsid w:val="7EFAA525"/>
    <w:rsid w:val="7EFB8606"/>
    <w:rsid w:val="7EFD3B28"/>
    <w:rsid w:val="7EFDBDCD"/>
    <w:rsid w:val="7EFEB2FE"/>
    <w:rsid w:val="7EFF1212"/>
    <w:rsid w:val="7EFF5575"/>
    <w:rsid w:val="7EFF8C41"/>
    <w:rsid w:val="7F2560E5"/>
    <w:rsid w:val="7F2C0E99"/>
    <w:rsid w:val="7F3FEDB5"/>
    <w:rsid w:val="7F53F02E"/>
    <w:rsid w:val="7F7678E7"/>
    <w:rsid w:val="7FA206DC"/>
    <w:rsid w:val="7FAF837C"/>
    <w:rsid w:val="7FBF7B66"/>
    <w:rsid w:val="7FC5577D"/>
    <w:rsid w:val="7FD75A4C"/>
    <w:rsid w:val="7FDE5487"/>
    <w:rsid w:val="7FEB0038"/>
    <w:rsid w:val="7FEBBBAF"/>
    <w:rsid w:val="7FEF2DF4"/>
    <w:rsid w:val="7FF41D2B"/>
    <w:rsid w:val="7FF49FC8"/>
    <w:rsid w:val="7FF5AAD9"/>
    <w:rsid w:val="7FF77E33"/>
    <w:rsid w:val="7FFF4FE5"/>
    <w:rsid w:val="7FFFF611"/>
    <w:rsid w:val="8BFF2D3B"/>
    <w:rsid w:val="996BD0AF"/>
    <w:rsid w:val="9BBD063D"/>
    <w:rsid w:val="9FCF3A1E"/>
    <w:rsid w:val="A677F231"/>
    <w:rsid w:val="A7BFCD83"/>
    <w:rsid w:val="A7F734BE"/>
    <w:rsid w:val="AABBDBF9"/>
    <w:rsid w:val="ADFBA0A3"/>
    <w:rsid w:val="AFE37E67"/>
    <w:rsid w:val="AFEA6E58"/>
    <w:rsid w:val="B1FB19CA"/>
    <w:rsid w:val="B2F73D68"/>
    <w:rsid w:val="B317B4CF"/>
    <w:rsid w:val="B39BD398"/>
    <w:rsid w:val="B5FB3934"/>
    <w:rsid w:val="B63B8721"/>
    <w:rsid w:val="B6BD50DF"/>
    <w:rsid w:val="B6FE1157"/>
    <w:rsid w:val="B77BE0B5"/>
    <w:rsid w:val="B78ECE99"/>
    <w:rsid w:val="B9FDE0EB"/>
    <w:rsid w:val="BA792CC3"/>
    <w:rsid w:val="BBFD659B"/>
    <w:rsid w:val="BE3C9002"/>
    <w:rsid w:val="BE6DA39D"/>
    <w:rsid w:val="BEFD97BC"/>
    <w:rsid w:val="BF4F74E2"/>
    <w:rsid w:val="BF78512B"/>
    <w:rsid w:val="BFDE222B"/>
    <w:rsid w:val="BFFEC298"/>
    <w:rsid w:val="BFFF4573"/>
    <w:rsid w:val="BFFF7CC3"/>
    <w:rsid w:val="BFFF9275"/>
    <w:rsid w:val="C7BE4186"/>
    <w:rsid w:val="CDBAB52A"/>
    <w:rsid w:val="CEFEF0CE"/>
    <w:rsid w:val="CF6DEFAB"/>
    <w:rsid w:val="CFDFBE6C"/>
    <w:rsid w:val="CFEC9BEE"/>
    <w:rsid w:val="CFF5379A"/>
    <w:rsid w:val="D36C3918"/>
    <w:rsid w:val="D3F9EA5A"/>
    <w:rsid w:val="D6435500"/>
    <w:rsid w:val="D7FEBF35"/>
    <w:rsid w:val="D9ED39C4"/>
    <w:rsid w:val="DA461859"/>
    <w:rsid w:val="DA750CD1"/>
    <w:rsid w:val="DA7F42D7"/>
    <w:rsid w:val="DBDDCDAC"/>
    <w:rsid w:val="DBDF0273"/>
    <w:rsid w:val="DBFF0E02"/>
    <w:rsid w:val="DBFFEA1C"/>
    <w:rsid w:val="DCE60BC4"/>
    <w:rsid w:val="DDF96A8F"/>
    <w:rsid w:val="DEAFA23E"/>
    <w:rsid w:val="DF40E9E9"/>
    <w:rsid w:val="DF5B32CA"/>
    <w:rsid w:val="DF6F1B5A"/>
    <w:rsid w:val="DF6F4D9A"/>
    <w:rsid w:val="DFBC1D42"/>
    <w:rsid w:val="DFDC21E5"/>
    <w:rsid w:val="DFDD6B98"/>
    <w:rsid w:val="DFDFD896"/>
    <w:rsid w:val="DFFB5BD2"/>
    <w:rsid w:val="DFFBB05C"/>
    <w:rsid w:val="DFFD0ADF"/>
    <w:rsid w:val="DFFEDD3D"/>
    <w:rsid w:val="E6B832E2"/>
    <w:rsid w:val="E7EBCC70"/>
    <w:rsid w:val="E7FB7D8D"/>
    <w:rsid w:val="EBF34E73"/>
    <w:rsid w:val="ECFF3C64"/>
    <w:rsid w:val="ED7FC654"/>
    <w:rsid w:val="ED9D1CE0"/>
    <w:rsid w:val="EDDD17AA"/>
    <w:rsid w:val="EDFF8CD3"/>
    <w:rsid w:val="EEAB8095"/>
    <w:rsid w:val="EEAD9AA0"/>
    <w:rsid w:val="EEDFE316"/>
    <w:rsid w:val="EF05DEC6"/>
    <w:rsid w:val="EF770F4E"/>
    <w:rsid w:val="EFAFCD75"/>
    <w:rsid w:val="EFE3600E"/>
    <w:rsid w:val="EFE696B1"/>
    <w:rsid w:val="EFED0794"/>
    <w:rsid w:val="EFED819E"/>
    <w:rsid w:val="EFF16C4F"/>
    <w:rsid w:val="EFFD0C7D"/>
    <w:rsid w:val="F26F675A"/>
    <w:rsid w:val="F31F351C"/>
    <w:rsid w:val="F3BFB7B4"/>
    <w:rsid w:val="F3FF72DC"/>
    <w:rsid w:val="F6FF8395"/>
    <w:rsid w:val="F76BBF38"/>
    <w:rsid w:val="F7BB10F3"/>
    <w:rsid w:val="F7DB40DE"/>
    <w:rsid w:val="F7FF44E4"/>
    <w:rsid w:val="F7FF575E"/>
    <w:rsid w:val="F8FFC0B5"/>
    <w:rsid w:val="F9FEA588"/>
    <w:rsid w:val="FB67221D"/>
    <w:rsid w:val="FB7EF411"/>
    <w:rsid w:val="FB7FDBC1"/>
    <w:rsid w:val="FBB22304"/>
    <w:rsid w:val="FBF7E949"/>
    <w:rsid w:val="FBFF9C2E"/>
    <w:rsid w:val="FC5DEA42"/>
    <w:rsid w:val="FCF73CF1"/>
    <w:rsid w:val="FD2F8510"/>
    <w:rsid w:val="FD7F81CD"/>
    <w:rsid w:val="FD9DA808"/>
    <w:rsid w:val="FDDEBDE8"/>
    <w:rsid w:val="FDDF6A30"/>
    <w:rsid w:val="FDE83D84"/>
    <w:rsid w:val="FDF73F6B"/>
    <w:rsid w:val="FDFE8D41"/>
    <w:rsid w:val="FDFF7524"/>
    <w:rsid w:val="FE724ADA"/>
    <w:rsid w:val="FE75A6E0"/>
    <w:rsid w:val="FE7980D4"/>
    <w:rsid w:val="FEBF32AA"/>
    <w:rsid w:val="FEBF54AB"/>
    <w:rsid w:val="FEE7BCA8"/>
    <w:rsid w:val="FEF771E6"/>
    <w:rsid w:val="FEFC5B2F"/>
    <w:rsid w:val="FEFF015A"/>
    <w:rsid w:val="FF71F95B"/>
    <w:rsid w:val="FF7BDC62"/>
    <w:rsid w:val="FF97FA6C"/>
    <w:rsid w:val="FFA95F78"/>
    <w:rsid w:val="FFCE7F7F"/>
    <w:rsid w:val="FFE6FB3B"/>
    <w:rsid w:val="FFEF03C3"/>
    <w:rsid w:val="FFEF4E60"/>
    <w:rsid w:val="FFEF5528"/>
    <w:rsid w:val="FFEF6F7B"/>
    <w:rsid w:val="FFEF730D"/>
    <w:rsid w:val="FFEFBB80"/>
    <w:rsid w:val="FFF675CC"/>
    <w:rsid w:val="FFF7D203"/>
    <w:rsid w:val="FFFA80B8"/>
    <w:rsid w:val="FFFD422A"/>
    <w:rsid w:val="FFFE1470"/>
    <w:rsid w:val="FFFF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rPr>
      <w:rFonts w:ascii="仿宋_GB2312" w:hAnsi="仿宋_GB2312" w:eastAsia="仿宋_GB2312" w:cstheme="minorBidi"/>
      <w:kern w:val="2"/>
      <w:sz w:val="32"/>
      <w:szCs w:val="22"/>
      <w:lang w:val="en-US" w:eastAsia="zh-CN" w:bidi="ar-SA"/>
    </w:rPr>
  </w:style>
  <w:style w:type="paragraph" w:styleId="4">
    <w:name w:val="heading 1"/>
    <w:basedOn w:val="1"/>
    <w:next w:val="1"/>
    <w:qFormat/>
    <w:uiPriority w:val="0"/>
    <w:pPr>
      <w:numPr>
        <w:ilvl w:val="0"/>
        <w:numId w:val="1"/>
      </w:numPr>
      <w:spacing w:before="0" w:beforeLines="0" w:beforeAutospacing="0" w:after="0" w:afterLines="0" w:afterAutospacing="0" w:line="560" w:lineRule="exact"/>
      <w:ind w:left="0" w:leftChars="0" w:firstLine="640" w:firstLineChars="200"/>
      <w:jc w:val="left"/>
      <w:outlineLvl w:val="0"/>
    </w:pPr>
    <w:rPr>
      <w:rFonts w:ascii="宋体" w:hAnsi="宋体" w:eastAsia="黑体" w:cs="Times New Roman"/>
      <w:kern w:val="36"/>
      <w:sz w:val="32"/>
      <w:szCs w:val="15"/>
    </w:rPr>
  </w:style>
  <w:style w:type="paragraph" w:styleId="5">
    <w:name w:val="heading 2"/>
    <w:basedOn w:val="1"/>
    <w:next w:val="1"/>
    <w:unhideWhenUsed/>
    <w:qFormat/>
    <w:uiPriority w:val="9"/>
    <w:pPr>
      <w:numPr>
        <w:ilvl w:val="0"/>
        <w:numId w:val="2"/>
      </w:numPr>
      <w:ind w:left="0" w:firstLine="640" w:firstLineChars="200"/>
      <w:jc w:val="left"/>
      <w:outlineLvl w:val="1"/>
    </w:pPr>
    <w:rPr>
      <w:rFonts w:ascii="楷体_GB2312" w:hAnsi="楷体_GB2312" w:eastAsia="楷体_GB2312"/>
    </w:rPr>
  </w:style>
  <w:style w:type="paragraph" w:styleId="6">
    <w:name w:val="heading 3"/>
    <w:basedOn w:val="1"/>
    <w:next w:val="1"/>
    <w:unhideWhenUsed/>
    <w:qFormat/>
    <w:uiPriority w:val="9"/>
    <w:pPr>
      <w:numPr>
        <w:ilvl w:val="0"/>
        <w:numId w:val="3"/>
      </w:numPr>
      <w:spacing w:beforeLines="0" w:afterLines="0"/>
      <w:outlineLvl w:val="2"/>
    </w:pPr>
    <w:rPr>
      <w:rFonts w:ascii="仿宋" w:hAnsi="仿宋"/>
      <w:b/>
    </w:rPr>
  </w:style>
  <w:style w:type="paragraph" w:styleId="7">
    <w:name w:val="heading 4"/>
    <w:next w:val="1"/>
    <w:unhideWhenUsed/>
    <w:qFormat/>
    <w:uiPriority w:val="9"/>
    <w:pPr>
      <w:numPr>
        <w:ilvl w:val="0"/>
        <w:numId w:val="4"/>
      </w:numPr>
      <w:spacing w:beforeLines="0" w:afterLines="0" w:line="560" w:lineRule="exact"/>
      <w:ind w:left="0" w:firstLine="640" w:firstLineChars="200"/>
      <w:outlineLvl w:val="3"/>
    </w:pPr>
    <w:rPr>
      <w:rFonts w:ascii="仿宋_GB2312" w:hAnsi="仿宋_GB2312" w:eastAsia="仿宋_GB2312" w:cs="Times New Roman"/>
      <w:b/>
      <w:sz w:val="32"/>
    </w:rPr>
  </w:style>
  <w:style w:type="paragraph" w:styleId="8">
    <w:name w:val="heading 5"/>
    <w:basedOn w:val="1"/>
    <w:next w:val="1"/>
    <w:unhideWhenUsed/>
    <w:qFormat/>
    <w:uiPriority w:val="9"/>
    <w:pPr>
      <w:keepNext/>
      <w:keepLines/>
      <w:numPr>
        <w:ilvl w:val="0"/>
        <w:numId w:val="5"/>
      </w:numPr>
      <w:spacing w:beforeLines="0" w:afterLines="0"/>
      <w:ind w:left="0" w:firstLine="640" w:firstLineChars="200"/>
      <w:outlineLvl w:val="4"/>
    </w:pPr>
    <w:rPr>
      <w:b/>
    </w:rPr>
  </w:style>
  <w:style w:type="paragraph" w:styleId="9">
    <w:name w:val="heading 6"/>
    <w:basedOn w:val="1"/>
    <w:next w:val="1"/>
    <w:unhideWhenUsed/>
    <w:qFormat/>
    <w:uiPriority w:val="9"/>
    <w:pPr>
      <w:keepNext/>
      <w:keepLines/>
      <w:numPr>
        <w:ilvl w:val="0"/>
        <w:numId w:val="6"/>
      </w:numPr>
      <w:spacing w:beforeLines="0" w:beforeAutospacing="0" w:afterLines="0" w:afterAutospacing="0" w:line="240" w:lineRule="auto"/>
      <w:ind w:left="0" w:leftChars="0" w:firstLine="0"/>
      <w:outlineLvl w:val="5"/>
    </w:pPr>
    <w:rPr>
      <w:rFonts w:eastAsia="仿宋"/>
      <w:b/>
    </w:rPr>
  </w:style>
  <w:style w:type="paragraph" w:styleId="10">
    <w:name w:val="heading 7"/>
    <w:basedOn w:val="1"/>
    <w:next w:val="1"/>
    <w:unhideWhenUsed/>
    <w:qFormat/>
    <w:uiPriority w:val="9"/>
    <w:pPr>
      <w:keepNext/>
      <w:keepLines/>
      <w:numPr>
        <w:ilvl w:val="0"/>
        <w:numId w:val="7"/>
      </w:numPr>
      <w:spacing w:beforeLines="0" w:beforeAutospacing="0" w:afterLines="0" w:afterAutospacing="0" w:line="240" w:lineRule="auto"/>
      <w:ind w:leftChars="0" w:firstLine="0"/>
      <w:outlineLvl w:val="6"/>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spacing w:afterLines="100" w:line="360" w:lineRule="auto"/>
      <w:ind w:firstLine="420" w:firstLineChars="200"/>
    </w:pPr>
    <w:rPr>
      <w:sz w:val="24"/>
    </w:rPr>
  </w:style>
  <w:style w:type="paragraph" w:styleId="3">
    <w:name w:val="Body Text Indent"/>
    <w:basedOn w:val="1"/>
    <w:semiHidden/>
    <w:qFormat/>
    <w:uiPriority w:val="99"/>
    <w:pPr>
      <w:spacing w:after="120"/>
      <w:ind w:left="420" w:leftChars="200"/>
    </w:pPr>
    <w:rPr>
      <w:kern w:val="0"/>
      <w:sz w:val="20"/>
    </w:rPr>
  </w:style>
  <w:style w:type="paragraph" w:styleId="11">
    <w:name w:val="Normal Indent"/>
    <w:basedOn w:val="1"/>
    <w:qFormat/>
    <w:uiPriority w:val="0"/>
    <w:pPr>
      <w:ind w:firstLine="420" w:firstLineChars="200"/>
    </w:pPr>
  </w:style>
  <w:style w:type="paragraph" w:styleId="12">
    <w:name w:val="annotation text"/>
    <w:basedOn w:val="1"/>
    <w:semiHidden/>
    <w:unhideWhenUsed/>
    <w:qFormat/>
    <w:uiPriority w:val="99"/>
    <w:pPr>
      <w:jc w:val="left"/>
    </w:pPr>
  </w:style>
  <w:style w:type="paragraph" w:styleId="13">
    <w:name w:val="Body Text"/>
    <w:basedOn w:val="1"/>
    <w:qFormat/>
    <w:uiPriority w:val="0"/>
    <w:pPr>
      <w:spacing w:after="120"/>
    </w:pPr>
  </w:style>
  <w:style w:type="paragraph" w:styleId="14">
    <w:name w:val="Title"/>
    <w:basedOn w:val="1"/>
    <w:qFormat/>
    <w:uiPriority w:val="10"/>
    <w:pPr>
      <w:spacing w:beforeLines="0" w:beforeAutospacing="0" w:afterLines="0" w:afterAutospacing="0" w:line="640" w:lineRule="exact"/>
      <w:ind w:left="0" w:leftChars="0" w:firstLine="0" w:firstLineChars="0"/>
      <w:jc w:val="center"/>
      <w:outlineLvl w:val="0"/>
    </w:pPr>
    <w:rPr>
      <w:rFonts w:ascii="方正小标宋简体" w:hAnsi="方正小标宋简体" w:eastAsia="方正小标宋简体"/>
      <w:sz w:val="44"/>
    </w:rPr>
  </w:style>
  <w:style w:type="table" w:styleId="16">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style>
  <w:style w:type="character" w:customStyle="1" w:styleId="19">
    <w:name w:val="font11"/>
    <w:basedOn w:val="17"/>
    <w:qFormat/>
    <w:uiPriority w:val="0"/>
    <w:rPr>
      <w:rFonts w:hint="eastAsia" w:ascii="仿宋_GB2312" w:eastAsia="仿宋_GB2312" w:cs="仿宋_GB2312"/>
      <w:color w:val="000000"/>
      <w:sz w:val="28"/>
      <w:szCs w:val="28"/>
      <w:u w:val="none"/>
    </w:rPr>
  </w:style>
  <w:style w:type="paragraph" w:customStyle="1" w:styleId="20">
    <w:name w:val="B表格正文"/>
    <w:qFormat/>
    <w:uiPriority w:val="0"/>
    <w:rPr>
      <w:rFonts w:ascii="Calibri" w:hAnsi="Calibri" w:eastAsia="黑体" w:cs="Times New Roman"/>
      <w:kern w:val="2"/>
      <w:sz w:val="21"/>
      <w:szCs w:val="21"/>
      <w:lang w:val="en-US" w:eastAsia="zh-CN" w:bidi="ar-SA"/>
    </w:rPr>
  </w:style>
  <w:style w:type="paragraph" w:customStyle="1" w:styleId="21">
    <w:name w:val="my正文"/>
    <w:basedOn w:val="1"/>
    <w:qFormat/>
    <w:uiPriority w:val="0"/>
    <w:pPr>
      <w:ind w:left="0" w:leftChars="0"/>
    </w:pPr>
    <w:rPr>
      <w:rFonts w:ascii="Calibri" w:hAnsi="Calibri" w:eastAsia="宋体" w:cs="Times New Roman"/>
      <w:kern w:val="0"/>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81</Pages>
  <Words>12722</Words>
  <Characters>13175</Characters>
  <Lines>2</Lines>
  <Paragraphs>1</Paragraphs>
  <TotalTime>1</TotalTime>
  <ScaleCrop>false</ScaleCrop>
  <LinksUpToDate>false</LinksUpToDate>
  <CharactersWithSpaces>13175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2019-05-16T00:59:00Z</dcterms:created>
  <dc:creator>Microsoft</dc:creator>
  <cp:lastModifiedBy>R.</cp:lastModifiedBy>
  <dcterms:modified xsi:type="dcterms:W3CDTF">2025-05-06T06:40:37Z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9BD1367B21264D3CA90584885E08153F_13</vt:lpwstr>
  </property>
  <property fmtid="{D5CDD505-2E9C-101B-9397-08002B2CF9AE}" pid="4" name="KSOTemplateDocerSaveRecord">
    <vt:lpwstr>eyJoZGlkIjoiN2FlMGQ5OTJhMjg0MDExY2M3MTQ4YjRhMmY0NmNlNmQiLCJ1c2VySWQiOiI2NTc2NjM0NTUifQ==</vt:lpwstr>
  </property>
</Properties>
</file>