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pStyle w:val="5"/>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0"/>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信息化</w:t>
      </w:r>
      <w:r>
        <w:rPr>
          <w:rFonts w:hint="eastAsia" w:ascii="方正小标宋简体" w:eastAsia="方正小标宋简体"/>
          <w:color w:val="auto"/>
          <w:sz w:val="44"/>
          <w:szCs w:val="44"/>
        </w:rPr>
        <w:t>项目需求</w:t>
      </w:r>
      <w:r>
        <w:rPr>
          <w:rFonts w:hint="eastAsia" w:ascii="方正小标宋简体" w:eastAsia="方正小标宋简体"/>
          <w:color w:val="auto"/>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800" w:firstLineChars="250"/>
        <w:textAlignment w:val="auto"/>
        <w:outlineLvl w:val="0"/>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800" w:firstLineChars="25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一、项目简介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rPr>
      </w:pPr>
      <w:r>
        <w:rPr>
          <w:rFonts w:hint="eastAsia" w:ascii="楷体" w:hAnsi="楷体" w:eastAsia="楷体"/>
          <w:color w:val="auto"/>
          <w:sz w:val="32"/>
          <w:szCs w:val="32"/>
        </w:rPr>
        <w:t>（一）项目名称</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贵州人才信息网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整合改造升级</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rPr>
      </w:pPr>
      <w:r>
        <w:rPr>
          <w:rFonts w:hint="eastAsia" w:ascii="楷体" w:hAnsi="楷体" w:eastAsia="楷体"/>
          <w:color w:val="auto"/>
          <w:sz w:val="32"/>
          <w:szCs w:val="32"/>
        </w:rPr>
        <w:t>（二）项目申报单位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1.单位（处室）名称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贵州省人才大市场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沈跃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3.联系人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沈跃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rPr>
      </w:pPr>
      <w:r>
        <w:rPr>
          <w:rFonts w:hint="eastAsia" w:ascii="楷体" w:hAnsi="楷体" w:eastAsia="楷体"/>
          <w:color w:val="auto"/>
          <w:sz w:val="32"/>
          <w:szCs w:val="32"/>
        </w:rPr>
        <w:t>（三）项目概述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项目类别：建设类（升级改造）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以现有“贵州人才信息网”为核心，整合厅内相关业务处室（单位）及所属企业现有网站、网络产品、业务系统资源，同步开发新增关键业务功能模块）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2.升级改造类项目，说明该项目建设的验收情况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为首次整合升级，无历史验收记录；项目完成后需按《省人力资源社会保障厅办公室关于印发省人力资源社会保障厅信息化项目验收细则的通知》文件要求，完成功能测试、数据迁移验证、安全测评等验收流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.系统使用范围，主要使用对象，服务人群</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使用范围：贵州省人才大市场及所属企业，联动厅内相关业务处室</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主要使用对象：</w:t>
      </w:r>
      <w:r>
        <w:rPr>
          <w:rFonts w:hint="eastAsia" w:ascii="仿宋_GB2312" w:hAnsi="仿宋_GB2312" w:eastAsia="仿宋_GB2312" w:cs="仿宋_GB2312"/>
          <w:color w:val="auto"/>
          <w:sz w:val="32"/>
          <w:szCs w:val="32"/>
          <w:lang w:val="en-US" w:eastAsia="zh-CN"/>
        </w:rPr>
        <w:t>贵州</w:t>
      </w:r>
      <w:r>
        <w:rPr>
          <w:rFonts w:hint="eastAsia" w:ascii="仿宋_GB2312" w:hAnsi="仿宋_GB2312" w:eastAsia="仿宋_GB2312" w:cs="仿宋_GB2312"/>
          <w:color w:val="auto"/>
          <w:sz w:val="32"/>
          <w:szCs w:val="32"/>
        </w:rPr>
        <w:t>省人才大市场工作人员、所属企业运营及运维人员、厅内相关业务处室</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服务人群：贵州省内企事业单位（含国有企业、事业单位）、各类求职者（含高校毕业生、就业困难人员、灵活就业人员）、专业技术人员、高层次人才（人才之家服务对象）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档案办理需求人员等。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二、项目建设依据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rPr>
      </w:pPr>
      <w:r>
        <w:rPr>
          <w:rFonts w:hint="eastAsia" w:ascii="楷体" w:hAnsi="楷体" w:eastAsia="楷体"/>
          <w:color w:val="auto"/>
          <w:sz w:val="32"/>
          <w:szCs w:val="32"/>
        </w:rPr>
        <w:t>（一）项目背景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政策背景：人力资源社会保障部、国家发展改革委、财政部、商务部、市场监管总局《关于推进新时代人力资源服务业高质量发展的意见》（人社部发〔2021〕89 号）明确提出“实施互联网+人力资源服务行动”；人力资源社会保障部《关于实施人力资源服务业创新发展行动计划（2023-2025 年）的通知》（人社部发〔2022〕83号）要求“鼓励数字技术与人力资源管理服务深度融合”，为项目建设提供政策依据。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实际需求背景：当前</w:t>
      </w:r>
      <w:r>
        <w:rPr>
          <w:rFonts w:hint="eastAsia" w:ascii="仿宋" w:hAnsi="仿宋" w:eastAsia="仿宋"/>
          <w:color w:val="auto"/>
          <w:sz w:val="32"/>
          <w:szCs w:val="32"/>
          <w:lang w:val="en-US" w:eastAsia="zh-CN"/>
        </w:rPr>
        <w:t>贵州</w:t>
      </w:r>
      <w:r>
        <w:rPr>
          <w:rFonts w:hint="eastAsia" w:ascii="仿宋" w:hAnsi="仿宋" w:eastAsia="仿宋"/>
          <w:color w:val="auto"/>
          <w:sz w:val="32"/>
          <w:szCs w:val="32"/>
        </w:rPr>
        <w:t>省人才</w:t>
      </w:r>
      <w:r>
        <w:rPr>
          <w:rFonts w:hint="eastAsia" w:ascii="仿宋" w:hAnsi="仿宋" w:eastAsia="仿宋"/>
          <w:color w:val="auto"/>
          <w:sz w:val="32"/>
          <w:szCs w:val="32"/>
          <w:lang w:val="en-US" w:eastAsia="zh-CN"/>
        </w:rPr>
        <w:t>大</w:t>
      </w:r>
      <w:r>
        <w:rPr>
          <w:rFonts w:hint="eastAsia" w:ascii="仿宋" w:hAnsi="仿宋" w:eastAsia="仿宋"/>
          <w:color w:val="auto"/>
          <w:sz w:val="32"/>
          <w:szCs w:val="32"/>
        </w:rPr>
        <w:t>市场及所属企业存在多方面问题，包括“贵州人才信息网”功能滞后（仅提供基础招聘功能，无智能匹配）、数据利用率低（历年积累数据未清理分析）；专业技术人员继续教育平台功能欠缺（统计分析、签到功能不完善，交互体验差）；核心业务（劳务派遣、档案服务）无系统支撑，效率低、差错率高；人才服务（高层次人才绿卡申报、津补贴申领）智能化不足，需通过信息化整合升级解决上述问题，适应人工智能、大数据等数字技术在人力资源服务领域的应用趋势，服务贵州省“六大产业基地” 建设及就业优先、人才强省战略。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rPr>
      </w:pPr>
      <w:r>
        <w:rPr>
          <w:rFonts w:hint="eastAsia" w:ascii="楷体" w:hAnsi="楷体" w:eastAsia="楷体"/>
          <w:color w:val="auto"/>
          <w:sz w:val="32"/>
          <w:szCs w:val="32"/>
        </w:rPr>
        <w:t>（二）与本项目相关的其他信息化系统情况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已建成系统及运行情况：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）“贵州人才信息网”（www.gzrc.com.cn）：2002年建成，2015年由深圳一览公司改造，兴黔一览公司运维至今，现有注册用户160.9万人（活跃121万人），服务15.4万家单位，发布30余万个岗位，</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lang w:eastAsia="zh-CN"/>
        </w:rPr>
        <w:t>服务人次上千万，仅支持基础招聘求职功能。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）省人才大市场专业技术人员继续教育平台（www.gzzy</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k.yl1001.com）：2022年建成，深圳一览开发、兴黔一览运维，服务近7000人次专业技术人员，与厅专业技术人员继续教育平台为同一公司运营，存在功能不完善、技术响应慢</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问题。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）零工市场微信小程序：贵州联通开发维护，</w:t>
      </w:r>
      <w:r>
        <w:rPr>
          <w:rFonts w:hint="eastAsia" w:ascii="仿宋_GB2312" w:hAnsi="仿宋_GB2312" w:eastAsia="仿宋_GB2312" w:cs="仿宋_GB2312"/>
          <w:color w:val="auto"/>
          <w:sz w:val="32"/>
          <w:szCs w:val="32"/>
          <w:lang w:val="en-US" w:eastAsia="zh-CN"/>
        </w:rPr>
        <w:t>不能</w:t>
      </w:r>
      <w:r>
        <w:rPr>
          <w:rFonts w:hint="eastAsia" w:ascii="仿宋_GB2312" w:hAnsi="仿宋_GB2312" w:eastAsia="仿宋_GB2312" w:cs="仿宋_GB2312"/>
          <w:color w:val="auto"/>
          <w:sz w:val="32"/>
          <w:szCs w:val="32"/>
          <w:lang w:eastAsia="zh-CN"/>
        </w:rPr>
        <w:t>联动“贵州人才信息网”发布岗位，服务灵活就业人员。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）直播平台“多维云聘”“黔程派”：已开展带岗直播、政策宣传服务，暂无统一管理入口。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待整合关联系统：贵州省公共招聘网、贵州劳务大数据平台、厅专业技术人员继续教育平台，需实现数据联通与功能协同。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lang w:val="en-US" w:eastAsia="zh-CN"/>
        </w:rPr>
      </w:pPr>
      <w:r>
        <w:rPr>
          <w:rFonts w:hint="eastAsia" w:ascii="楷体" w:hAnsi="楷体" w:eastAsia="楷体"/>
          <w:color w:val="auto"/>
          <w:sz w:val="32"/>
          <w:szCs w:val="32"/>
          <w:lang w:eastAsia="zh-CN"/>
        </w:rPr>
        <w:t>（</w:t>
      </w:r>
      <w:r>
        <w:rPr>
          <w:rFonts w:hint="eastAsia" w:ascii="楷体" w:hAnsi="楷体" w:eastAsia="楷体"/>
          <w:color w:val="auto"/>
          <w:sz w:val="32"/>
          <w:szCs w:val="32"/>
          <w:lang w:val="en-US" w:eastAsia="zh-CN"/>
        </w:rPr>
        <w:t>三</w:t>
      </w:r>
      <w:r>
        <w:rPr>
          <w:rFonts w:hint="eastAsia" w:ascii="楷体" w:hAnsi="楷体" w:eastAsia="楷体"/>
          <w:color w:val="auto"/>
          <w:sz w:val="32"/>
          <w:szCs w:val="32"/>
          <w:lang w:eastAsia="zh-CN"/>
        </w:rPr>
        <w:t>）</w:t>
      </w:r>
      <w:r>
        <w:rPr>
          <w:rFonts w:hint="eastAsia" w:ascii="楷体" w:hAnsi="楷体" w:eastAsia="楷体"/>
          <w:color w:val="auto"/>
          <w:sz w:val="32"/>
          <w:szCs w:val="32"/>
          <w:lang w:val="en-US" w:eastAsia="zh-CN"/>
        </w:rPr>
        <w:t>项目建设意义和必要性</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1、适应数字技术发展趋势：破解现有系统功能滞后问题，融入AI、大数据技术，实现智能人岗匹配、数字化服务，符合 “互联网+人力资源服务”政策要求。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2、应对市场竞争：当前人力资源服务企业广泛应用新技术推动数字化转型，本项目升级改造“贵州人才信息网”，整合全业务模块，是提升市场竞争力的必要手段。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3、提升服务效率与质量：解决核心业务（劳务派遣、档案）无系统支撑、人才服务智能化不足问题，实现“一站式”办理，为企事业单位、求职者、专业技术人员提供高效便民服务。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4、支撑战略落地：通过整合数据资源，建立人才数据储备，绘制人才地图，为“六大产业基地”“富矿精开”提供人力资源支撑，助力就业优先、人才强省战略实施。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5、节约成本与数据增值：整合多系统资源，避免重复建设，提高数据利用率，为政府制定就业、人才政策提供数据参考。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eastAsia="zh-CN"/>
        </w:rPr>
        <w:t>四</w:t>
      </w:r>
      <w:r>
        <w:rPr>
          <w:rFonts w:hint="eastAsia" w:ascii="楷体" w:hAnsi="楷体" w:eastAsia="楷体"/>
          <w:color w:val="auto"/>
          <w:sz w:val="32"/>
          <w:szCs w:val="32"/>
        </w:rPr>
        <w:t>）建设依据清单</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《关于推进新时代人力资源服务业高质量发展的意见》（人社部发〔2021〕89号）</w:t>
      </w:r>
      <w:r>
        <w:rPr>
          <w:rFonts w:hint="eastAsia" w:ascii="仿宋_GB2312" w:hAnsi="仿宋_GB2312" w:eastAsia="仿宋_GB2312" w:cs="仿宋_GB2312"/>
          <w:color w:val="auto"/>
          <w:sz w:val="32"/>
          <w:szCs w:val="32"/>
          <w:lang w:eastAsia="zh-CN"/>
        </w:rPr>
        <w:t>；</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《关于实施人力资源服务业创新发展行动计划（2023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2025年）的通知》（人社部发〔2022〕83号）</w:t>
      </w:r>
      <w:r>
        <w:rPr>
          <w:rFonts w:hint="eastAsia" w:ascii="仿宋_GB2312" w:hAnsi="仿宋_GB2312" w:eastAsia="仿宋_GB2312" w:cs="仿宋_GB2312"/>
          <w:color w:val="auto"/>
          <w:sz w:val="32"/>
          <w:szCs w:val="32"/>
          <w:lang w:eastAsia="zh-CN"/>
        </w:rPr>
        <w:t>；</w:t>
      </w:r>
    </w:p>
    <w:p>
      <w:pPr>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3、《信息安全技术网络安全等级保护安全管理中心技术要求》GB/T36958-2018；</w:t>
      </w:r>
    </w:p>
    <w:p>
      <w:pPr>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4、《信息安全技术网络安全等级保护测评过程指南》GB/T28449-2018。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三、需求分析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（一）项目建设目标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贵州人才信息网”改造升级为基础，在网站上开发劳务派遣流程系统、人才之家业务管理系统、档案信息系统、事业单位及国有企业人员测评报名系统，嵌入专业技术人员继续教育平台（含厅专业技术人员继续教育平台）、零工市场小程序，整合高校毕业生就业服务产品、直播产品等，形成专业性的人力资源服务门户网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年目标（4个月内）：完成“贵州人才信息网”数据底座建设与改造升级，整合现有4类系统（人才信息网、继续教育平台、零工小程序、直播平台），开发3类新增系统（劳务派遣流程系统、档案信息系统、事业单位及国有企业人员测评报名系统），实现招聘求职、派遣外包、继续教育、零工服务“初步协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rPr>
      </w:pPr>
      <w:r>
        <w:rPr>
          <w:rFonts w:hint="eastAsia" w:ascii="楷体" w:hAnsi="楷体" w:eastAsia="楷体"/>
          <w:color w:val="auto"/>
          <w:sz w:val="32"/>
          <w:szCs w:val="32"/>
        </w:rPr>
        <w:t>（二）业务需求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主要建设内容及业务流程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）综合管理平台：整合多系统后台，实现人员、权限、运维统一管理，支撑全业务模块协同；业务流程为“用户/工作人员操作→系统统一接收→分模块处理→数据统一归集”。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）业务经办平台：覆盖劳务派遣、人才服务、就业服务、档案管理、测评报名5类核心业务，流程贴合实际工作（如劳务派遣流程：客户签约→员工录入→社保/公积金代缴→薪酬计算→财务结算）。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）创新数字化模块：基于Deepseek 技术开发 AI 应用，流程为“用户发起需求→AI 分析处理→生成结果（如匹配岗位、测评报告）→人工辅助优化”。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2、功能点列表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系统模块：一级功能、二级功能。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（1）综合管理平台：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人员管理：用户账号管理、角色分配、权限审批、操作日志查询</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运维监控：系统运行状态监控、故障预警、数据备份与恢复</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参数配置：业务规则配置、表单字段自定义、权限阈值设置</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（2）劳务派遣流程信息化系统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客户管理：客户信息录入、签约管理、服务进度跟踪、客户评价</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员工管理：员工档案录入、合同管理、异动登记、离职处理</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社保/医保/公积金管理：参保登记、缴费申报、待遇查询、补缴处理</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薪酬财务管理：智能薪酬计算、个税申报、账单生成、工资发放、财务结算</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（3）人才服务及人才之家系统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人才库管理：人才需求库（岗位资源录入）、人才资源库（人才信息归集）、项目库、专家库管理</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人才之家业务：绿卡申报、津贴申领、活动场所预定、服务进度查询</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（4）继续教育平台（升级）</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课程管理：公需科目/专业科目上传、分专业课程整合、视频/文档课程支持</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学员管理：报名签到、学习进度跟踪、成绩统计、证书生成</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（5）就业服务整合模块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零工服务：零工岗位发布、接单匹配、服务评价（与已有小程序对接）</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高校毕业生服务：专区岗位推荐、就业指导、政策推送</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直播管理：带岗直播预约、直播回放、政策宣传直播</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（6）档案信息系统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档案管理：人事/文书/财务档案录入、分类归档、检索查询、借阅管理等；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（7）测评报名系统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报名管理：事业单位/国企测评报名、资格审核、准考证生成等；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测评管理：测评题目管理、成绩统计、报告生成等；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（8）AI 创新模块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智能服务：AI 智能咨询、AI职业测评、AI岗位速配、求职/岗位竞争力分析、AI面试管理等；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关联关系：各系统模块数据互通（如人才库数据支撑AI 岗位速配，继续教育成绩同步至厅职称申报系统）；限制条件：档案系统需区分涉密/非涉密，非涉密部分接入平台，涉密部分单独管理；数据共享需符合个人信息保护法规。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lang w:eastAsia="zh-CN"/>
        </w:rPr>
      </w:pPr>
      <w:r>
        <w:rPr>
          <w:rFonts w:hint="eastAsia" w:ascii="楷体" w:hAnsi="楷体" w:eastAsia="楷体"/>
          <w:color w:val="auto"/>
          <w:sz w:val="32"/>
          <w:szCs w:val="32"/>
          <w:lang w:eastAsia="zh-CN"/>
        </w:rPr>
        <w:t>（三）性能及部署需求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1、部署要求：系统统一部署于厅信息中心，依托厅信息中心已有硬件、安全及网络资源（服务器、存储设备、网络带宽），避免重复建设。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2、性能要求：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（1）并发处理：支持至少1000人同时在线操作（峰值时段如招聘旺季、继续教育报名期），页面响应时间≤3 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（2）数据处理：支持160万 + 注册用户数据存储与检索，年服务数据（岗位、学习记录等）处理量≥100万条，数据查询准确率≥99.9%。</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（3）稳定性：系统全年可用率≥99.5%，每月故障停机时间≤4小时。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楷体" w:hAnsi="楷体" w:eastAsia="楷体"/>
          <w:color w:val="auto"/>
          <w:sz w:val="32"/>
          <w:szCs w:val="32"/>
          <w:lang w:eastAsia="zh-CN"/>
        </w:rPr>
      </w:pPr>
      <w:r>
        <w:rPr>
          <w:rFonts w:hint="eastAsia" w:ascii="楷体" w:hAnsi="楷体" w:eastAsia="楷体"/>
          <w:color w:val="auto"/>
          <w:sz w:val="32"/>
          <w:szCs w:val="32"/>
          <w:lang w:eastAsia="zh-CN"/>
        </w:rPr>
        <w:t>（四）数据需求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Layout w:type="autofit"/>
        <w:tblCellMar>
          <w:top w:w="0" w:type="dxa"/>
          <w:left w:w="0" w:type="dxa"/>
          <w:bottom w:w="0" w:type="dxa"/>
          <w:right w:w="0" w:type="dxa"/>
        </w:tblCellMar>
      </w:tblPr>
      <w:tblGrid>
        <w:gridCol w:w="1203"/>
        <w:gridCol w:w="3404"/>
        <w:gridCol w:w="3162"/>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tcBorders>
              <w:tl2br w:val="nil"/>
              <w:tr2bl w:val="nil"/>
            </w:tcBorders>
            <w:shd w:val="clear" w:color="auto" w:fill="F2F2F2"/>
            <w:tcMar>
              <w:top w:w="180" w:type="dxa"/>
              <w:left w:w="270" w:type="dxa"/>
              <w:bottom w:w="180" w:type="dxa"/>
              <w:right w:w="270" w:type="dxa"/>
            </w:tcMar>
            <w:vAlign w:val="center"/>
          </w:tcPr>
          <w:p>
            <w:pPr>
              <w:ind w:left="0" w:leftChars="0" w:firstLine="0" w:firstLineChars="0"/>
              <w:rPr>
                <w:rFonts w:hint="eastAsia"/>
                <w:b/>
                <w:bCs/>
                <w:color w:val="auto"/>
              </w:rPr>
            </w:pPr>
            <w:r>
              <w:rPr>
                <w:rFonts w:hint="eastAsia"/>
                <w:b/>
                <w:bCs/>
                <w:color w:val="auto"/>
                <w:lang w:val="en-US" w:eastAsia="zh-CN"/>
              </w:rPr>
              <w:t>数据类型</w:t>
            </w:r>
          </w:p>
        </w:tc>
        <w:tc>
          <w:tcPr>
            <w:tcW w:w="0" w:type="auto"/>
            <w:tcBorders>
              <w:tl2br w:val="nil"/>
              <w:tr2bl w:val="nil"/>
            </w:tcBorders>
            <w:shd w:val="clear" w:color="auto" w:fill="F2F2F2"/>
            <w:tcMar>
              <w:top w:w="180" w:type="dxa"/>
              <w:left w:w="270" w:type="dxa"/>
              <w:bottom w:w="180" w:type="dxa"/>
              <w:right w:w="270" w:type="dxa"/>
            </w:tcMar>
            <w:vAlign w:val="center"/>
          </w:tcPr>
          <w:p>
            <w:pPr>
              <w:ind w:left="0" w:leftChars="0" w:firstLine="0" w:firstLineChars="0"/>
              <w:rPr>
                <w:rFonts w:hint="eastAsia"/>
                <w:b/>
                <w:bCs/>
                <w:color w:val="auto"/>
              </w:rPr>
            </w:pPr>
            <w:r>
              <w:rPr>
                <w:rFonts w:hint="eastAsia"/>
                <w:b/>
                <w:bCs/>
                <w:color w:val="auto"/>
                <w:lang w:val="en-US" w:eastAsia="zh-CN"/>
              </w:rPr>
              <w:t>主要指标项</w:t>
            </w:r>
          </w:p>
        </w:tc>
        <w:tc>
          <w:tcPr>
            <w:tcW w:w="0" w:type="auto"/>
            <w:tcBorders>
              <w:tl2br w:val="nil"/>
              <w:tr2bl w:val="nil"/>
            </w:tcBorders>
            <w:shd w:val="clear" w:color="auto" w:fill="F2F2F2"/>
            <w:tcMar>
              <w:top w:w="180" w:type="dxa"/>
              <w:left w:w="270" w:type="dxa"/>
              <w:bottom w:w="180" w:type="dxa"/>
              <w:right w:w="270" w:type="dxa"/>
            </w:tcMar>
            <w:vAlign w:val="center"/>
          </w:tcPr>
          <w:p>
            <w:pPr>
              <w:ind w:left="0" w:leftChars="0" w:firstLine="0" w:firstLineChars="0"/>
              <w:rPr>
                <w:rFonts w:hint="eastAsia"/>
                <w:b/>
                <w:bCs/>
                <w:color w:val="auto"/>
              </w:rPr>
            </w:pPr>
            <w:r>
              <w:rPr>
                <w:rFonts w:hint="eastAsia"/>
                <w:b/>
                <w:bCs/>
                <w:color w:val="auto"/>
                <w:lang w:val="en-US" w:eastAsia="zh-CN"/>
              </w:rPr>
              <w:t>开放共享形式</w:t>
            </w:r>
          </w:p>
        </w:tc>
        <w:tc>
          <w:tcPr>
            <w:tcW w:w="0" w:type="auto"/>
            <w:tcBorders>
              <w:tl2br w:val="nil"/>
              <w:tr2bl w:val="nil"/>
            </w:tcBorders>
            <w:shd w:val="clear" w:color="auto" w:fill="F2F2F2"/>
            <w:tcMar>
              <w:top w:w="180" w:type="dxa"/>
              <w:left w:w="270" w:type="dxa"/>
              <w:bottom w:w="180" w:type="dxa"/>
              <w:right w:w="270" w:type="dxa"/>
            </w:tcMar>
            <w:vAlign w:val="center"/>
          </w:tcPr>
          <w:p>
            <w:pPr>
              <w:ind w:left="0" w:leftChars="0" w:firstLine="0" w:firstLineChars="0"/>
              <w:rPr>
                <w:rFonts w:hint="eastAsia"/>
                <w:b/>
                <w:bCs/>
                <w:color w:val="auto"/>
              </w:rPr>
            </w:pPr>
            <w:r>
              <w:rPr>
                <w:rFonts w:hint="eastAsia"/>
                <w:b/>
                <w:bCs/>
                <w:color w:val="auto"/>
                <w:lang w:val="en-US" w:eastAsia="zh-CN"/>
              </w:rPr>
              <w:t>更新周期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0" w:type="dxa"/>
            <w:left w:w="0" w:type="dxa"/>
            <w:bottom w:w="0" w:type="dxa"/>
            <w:right w:w="0" w:type="dxa"/>
          </w:tblCellMar>
        </w:tblPrEx>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求职人员数据</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姓名、身份证号、学历、专业、求职意向、工作经验、简历信息</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对企事业单位有条件共享（需授权）；对本人无条件查询</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实时（用户更新）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0" w:type="dxa"/>
            <w:left w:w="0" w:type="dxa"/>
            <w:bottom w:w="0" w:type="dxa"/>
            <w:right w:w="0" w:type="dxa"/>
          </w:tblCellMar>
        </w:tblPrEx>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岗位数据</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单位名称、岗位名称、需求人数、薪资范围、任职要求、工作地点</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无条件共享（公众查询）</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实时（单位发布）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PrEx>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继续教育数据</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学员姓名、身份证号、学习课程、成绩、证书信息</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对厅相关处室有条件共享；对本人无条件查询</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每日更新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0" w:type="dxa"/>
            <w:left w:w="0" w:type="dxa"/>
            <w:bottom w:w="0" w:type="dxa"/>
            <w:right w:w="0" w:type="dxa"/>
          </w:tblCellMar>
        </w:tblPrEx>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劳务派遣数据</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客户信息、员工信息、社保缴费记录、薪酬发放记录</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仅内部使用（省人才大市场及客户）</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0" w:type="dxa"/>
            <w:left w:w="0" w:type="dxa"/>
            <w:bottom w:w="0" w:type="dxa"/>
            <w:right w:w="0" w:type="dxa"/>
          </w:tblCellMar>
        </w:tblPrEx>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人才库数据</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人才基本信息、专业技能、项目经历、专家资质</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对政府部门有条件共享（政策制定用）</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每月更新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CellMar>
            <w:top w:w="0" w:type="dxa"/>
            <w:left w:w="0" w:type="dxa"/>
            <w:bottom w:w="0" w:type="dxa"/>
            <w:right w:w="0" w:type="dxa"/>
          </w:tblCellMar>
        </w:tblPrEx>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档案数据</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档案编号、档案类型、归档时间、借阅记录</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仅授权人员查询</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9FAFB"/>
        </w:tblPrEx>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就业形势数据</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岗位供需比、重点群体就业率、行业就业趋势</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对公众无条件共享（统计报表）</w:t>
            </w:r>
          </w:p>
        </w:tc>
        <w:tc>
          <w:tcPr>
            <w:tcW w:w="0" w:type="auto"/>
            <w:tcBorders>
              <w:tl2br w:val="nil"/>
              <w:tr2bl w:val="nil"/>
            </w:tcBorders>
            <w:shd w:val="clear" w:color="auto" w:fill="F9FAFB"/>
            <w:tcMar>
              <w:top w:w="180" w:type="dxa"/>
              <w:left w:w="270" w:type="dxa"/>
              <w:bottom w:w="180" w:type="dxa"/>
              <w:right w:w="270" w:type="dxa"/>
            </w:tcMar>
            <w:vAlign w:val="center"/>
          </w:tcPr>
          <w:p>
            <w:pPr>
              <w:ind w:left="0" w:leftChars="0" w:firstLine="0" w:firstLineChars="0"/>
              <w:rPr>
                <w:rFonts w:hint="eastAsia"/>
                <w:color w:val="auto"/>
              </w:rPr>
            </w:pPr>
            <w:r>
              <w:rPr>
                <w:rFonts w:hint="eastAsia"/>
                <w:color w:val="auto"/>
                <w:lang w:val="en-US" w:eastAsia="zh-CN"/>
              </w:rPr>
              <w:t>每月发布</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olor w:val="auto"/>
          <w:sz w:val="32"/>
          <w:szCs w:val="32"/>
          <w:lang w:eastAsia="zh-CN"/>
        </w:rPr>
      </w:pPr>
      <w:r>
        <w:rPr>
          <w:rFonts w:hint="eastAsia" w:ascii="楷体" w:hAnsi="楷体" w:eastAsia="楷体"/>
          <w:color w:val="auto"/>
          <w:sz w:val="32"/>
          <w:szCs w:val="32"/>
          <w:lang w:eastAsia="zh-CN"/>
        </w:rPr>
        <w:t>（五）安全需求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网络使用：主要使用电子政务外网（内部管理操作），互联网端口用于公众访问（求职、报名等），实现内外网隔离。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安全保护等级：按厅信息中心要求，完成网络安全等级保护测评（建议不低于二级等保），定期开展安全漏洞扫描与修复。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其他安全：建立用户身份认证（账号密码 + 短信验证）、数据备份（每日增量备份 + 每周全量备份）、日志审计（操作日志留存≥6个月）机制，防范数据泄露、篡改风险。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项目建设</w:t>
      </w:r>
      <w:r>
        <w:rPr>
          <w:rFonts w:hint="eastAsia" w:ascii="黑体" w:hAnsi="黑体" w:eastAsia="黑体"/>
          <w:color w:val="auto"/>
          <w:sz w:val="32"/>
          <w:szCs w:val="32"/>
          <w:lang w:eastAsia="zh-CN"/>
        </w:rPr>
        <w:t>进度安排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olor w:val="auto"/>
          <w:sz w:val="32"/>
          <w:szCs w:val="32"/>
          <w:lang w:eastAsia="zh-CN"/>
        </w:rPr>
      </w:pPr>
      <w:r>
        <w:rPr>
          <w:rFonts w:hint="eastAsia" w:ascii="楷体" w:hAnsi="楷体" w:eastAsia="楷体"/>
          <w:color w:val="auto"/>
          <w:sz w:val="32"/>
          <w:szCs w:val="32"/>
          <w:lang w:eastAsia="zh-CN"/>
        </w:rPr>
        <w:t>（一）项目总工期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预计4个月（自项目中标单位确定并签订合同之日起计算）。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olor w:val="auto"/>
          <w:sz w:val="32"/>
          <w:szCs w:val="32"/>
          <w:lang w:eastAsia="zh-CN"/>
        </w:rPr>
      </w:pPr>
      <w:r>
        <w:rPr>
          <w:rFonts w:hint="eastAsia" w:ascii="楷体" w:hAnsi="楷体" w:eastAsia="楷体"/>
          <w:color w:val="auto"/>
          <w:sz w:val="32"/>
          <w:szCs w:val="32"/>
          <w:lang w:eastAsia="zh-CN"/>
        </w:rPr>
        <w:t>（二）项目实施进度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1231"/>
        <w:gridCol w:w="2466"/>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阶段</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时间范围</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需求分析阶段</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第 1 个月（第 1-4 周）</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与省人才大市场、厅相关处室、现有系统运维方对接，细化需求；完成需求规格说明书编制与评审；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开发整合阶段</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第 2-3 个月（第 5-12 周）</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完成 “贵州人才信息网” 数据底座建设；开发劳务派遣、档案、测评报名系统；整合现有继续教育平台、零工小程序、直播平台；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测试试运行阶段</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第 3 个月末 - 第 4 个月初（第 13-14 周）</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开展功能测试（各模块功能验证）、压力测试（并发性能验证）、安全测试；组织内部试运行，收集问题并优化；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验收上线阶段</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第 4 个月末（第 15-16 周）</w:t>
            </w:r>
          </w:p>
        </w:tc>
        <w:tc>
          <w:tcPr>
            <w:tcW w:w="0" w:type="auto"/>
            <w:tcBorders>
              <w:tl2br w:val="nil"/>
              <w:tr2bl w:val="nil"/>
            </w:tcBorders>
            <w:shd w:val="clear" w:color="auto" w:fill="FFFFFF" w:themeFill="background1"/>
            <w:tcMar>
              <w:top w:w="180" w:type="dxa"/>
              <w:left w:w="270" w:type="dxa"/>
              <w:bottom w:w="180" w:type="dxa"/>
              <w:right w:w="27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完成系统验收；组织操作人员培训；正式上线运行；</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五、项目服务要求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（一）建设期间服务要求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开发团队配置：不少于5人（含1名需求分析师、2名开发工程师、1名测试工程师、1名项目经理），需求调研、测试阶段需驻场服务（驻场地点：省人才大市场）。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沟通机制：每周提交项目进度报告，每月组织1次进度评审会（与省人才大市场对接）；重大问题24小时内响应。</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（二）上线后服务要求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运维范围：系统故障处理、功能优化、数据备份与恢复、安全漏洞修复；运维期限：上线后初期1年由中标单位负责，后期移交省人才大市场自建团队。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运维团队配置：中标单位运维团队不少于2人，提供7×24小时电话支持，故障响应时间≤4小时，重大故障24小时内解决。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知识转移：中标单位需提供操作手册、运维手册，并组织2次以上培训（省人才大市场工作人员、所属企业运维人员），确保后期可独立运维。</w:t>
      </w:r>
      <w:bookmarkStart w:id="0" w:name="_GoBack"/>
      <w:bookmarkEnd w:id="0"/>
    </w:p>
    <w:sectPr>
      <w:footerReference r:id="rId5" w:type="default"/>
      <w:pgSz w:w="11906" w:h="16838"/>
      <w:pgMar w:top="2154" w:right="1587"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840"/>
      </w:pPr>
      <w:r>
        <w:separator/>
      </w:r>
    </w:p>
  </w:endnote>
  <w:endnote w:type="continuationSeparator" w:id="1">
    <w:p>
      <w:pPr>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840"/>
      </w:pPr>
      <w:r>
        <w:separator/>
      </w:r>
    </w:p>
  </w:footnote>
  <w:footnote w:type="continuationSeparator" w:id="1">
    <w:p>
      <w:pPr>
        <w:ind w:left="8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8D"/>
    <w:rsid w:val="0019660B"/>
    <w:rsid w:val="001E3ACD"/>
    <w:rsid w:val="003B5817"/>
    <w:rsid w:val="004B4B6E"/>
    <w:rsid w:val="008F4C42"/>
    <w:rsid w:val="00DE798D"/>
    <w:rsid w:val="024617F2"/>
    <w:rsid w:val="030D0562"/>
    <w:rsid w:val="037203C5"/>
    <w:rsid w:val="03B60BF9"/>
    <w:rsid w:val="07CD6512"/>
    <w:rsid w:val="07CF4038"/>
    <w:rsid w:val="08326375"/>
    <w:rsid w:val="0B183F48"/>
    <w:rsid w:val="0CA50CD8"/>
    <w:rsid w:val="0CF54541"/>
    <w:rsid w:val="0E19425F"/>
    <w:rsid w:val="11447845"/>
    <w:rsid w:val="12463148"/>
    <w:rsid w:val="151E65FF"/>
    <w:rsid w:val="15406575"/>
    <w:rsid w:val="16F67BF4"/>
    <w:rsid w:val="198C1D89"/>
    <w:rsid w:val="1B8E1F6B"/>
    <w:rsid w:val="1BBE036A"/>
    <w:rsid w:val="1CFB6D5C"/>
    <w:rsid w:val="1DD73FFB"/>
    <w:rsid w:val="22802A54"/>
    <w:rsid w:val="23A67239"/>
    <w:rsid w:val="24E30CCB"/>
    <w:rsid w:val="26AF355A"/>
    <w:rsid w:val="26FD42C6"/>
    <w:rsid w:val="2AFE23BA"/>
    <w:rsid w:val="37A34A15"/>
    <w:rsid w:val="37C71F6E"/>
    <w:rsid w:val="3A9C399E"/>
    <w:rsid w:val="3CEA09F1"/>
    <w:rsid w:val="3D3F15E8"/>
    <w:rsid w:val="3DDFB8E5"/>
    <w:rsid w:val="3E391C30"/>
    <w:rsid w:val="3FC933F3"/>
    <w:rsid w:val="3FEF06DD"/>
    <w:rsid w:val="4029BD4A"/>
    <w:rsid w:val="4230334A"/>
    <w:rsid w:val="436A288B"/>
    <w:rsid w:val="44A21BB1"/>
    <w:rsid w:val="44BC0EC5"/>
    <w:rsid w:val="45DFA337"/>
    <w:rsid w:val="4A914BA1"/>
    <w:rsid w:val="4AA71037"/>
    <w:rsid w:val="51D27F79"/>
    <w:rsid w:val="53BA0CC5"/>
    <w:rsid w:val="55AE4859"/>
    <w:rsid w:val="56890E23"/>
    <w:rsid w:val="58564D34"/>
    <w:rsid w:val="5898359F"/>
    <w:rsid w:val="58FD3402"/>
    <w:rsid w:val="596B2623"/>
    <w:rsid w:val="5AB02E22"/>
    <w:rsid w:val="5CB14C2F"/>
    <w:rsid w:val="5CD526CC"/>
    <w:rsid w:val="5DFA625B"/>
    <w:rsid w:val="5F683CCB"/>
    <w:rsid w:val="5FFF364F"/>
    <w:rsid w:val="61202383"/>
    <w:rsid w:val="614B38A4"/>
    <w:rsid w:val="62FB30A8"/>
    <w:rsid w:val="63015BB4"/>
    <w:rsid w:val="63D27965"/>
    <w:rsid w:val="658FCF03"/>
    <w:rsid w:val="65B35574"/>
    <w:rsid w:val="66967370"/>
    <w:rsid w:val="674072DB"/>
    <w:rsid w:val="67650AF0"/>
    <w:rsid w:val="68232E85"/>
    <w:rsid w:val="6A366774"/>
    <w:rsid w:val="6BDF4730"/>
    <w:rsid w:val="6BFF5AF7"/>
    <w:rsid w:val="6C77554D"/>
    <w:rsid w:val="6C97174C"/>
    <w:rsid w:val="6E865D1D"/>
    <w:rsid w:val="6EEB3919"/>
    <w:rsid w:val="727D06FC"/>
    <w:rsid w:val="72E90827"/>
    <w:rsid w:val="74FA31C0"/>
    <w:rsid w:val="74FF5708"/>
    <w:rsid w:val="76197675"/>
    <w:rsid w:val="771F0B8F"/>
    <w:rsid w:val="77D77969"/>
    <w:rsid w:val="77FE4884"/>
    <w:rsid w:val="78340796"/>
    <w:rsid w:val="788F64BF"/>
    <w:rsid w:val="78E4669A"/>
    <w:rsid w:val="7A190CB7"/>
    <w:rsid w:val="7DB008BF"/>
    <w:rsid w:val="7DFD22BB"/>
    <w:rsid w:val="7EFF5575"/>
    <w:rsid w:val="7FF5AAD9"/>
    <w:rsid w:val="AABBDBF9"/>
    <w:rsid w:val="AFEA6E58"/>
    <w:rsid w:val="B1FB19CA"/>
    <w:rsid w:val="B6BD50DF"/>
    <w:rsid w:val="BFDE222B"/>
    <w:rsid w:val="BFEFAD0F"/>
    <w:rsid w:val="BFFF7CC3"/>
    <w:rsid w:val="CDBAB52A"/>
    <w:rsid w:val="CEFEF0CE"/>
    <w:rsid w:val="DA461859"/>
    <w:rsid w:val="DDF96A8F"/>
    <w:rsid w:val="DFFB5BD2"/>
    <w:rsid w:val="E7EBCC70"/>
    <w:rsid w:val="EFE3600E"/>
    <w:rsid w:val="EFFD0C7D"/>
    <w:rsid w:val="F76BBF38"/>
    <w:rsid w:val="FB7EF411"/>
    <w:rsid w:val="FBF7E949"/>
    <w:rsid w:val="FD9DA808"/>
    <w:rsid w:val="FE3F8E3B"/>
    <w:rsid w:val="FF71F95B"/>
    <w:rsid w:val="FFEF6F7B"/>
    <w:rsid w:val="FFEF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00" w:leftChars="4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ascii="宋体" w:hAnsi="宋体" w:cs="Times New Roman"/>
      <w:kern w:val="36"/>
      <w:sz w:val="15"/>
      <w:szCs w:val="15"/>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4750</Words>
  <Characters>4919</Characters>
  <Lines>2</Lines>
  <Paragraphs>1</Paragraphs>
  <TotalTime>5</TotalTime>
  <ScaleCrop>false</ScaleCrop>
  <LinksUpToDate>false</LinksUpToDate>
  <CharactersWithSpaces>4967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2019-05-11T16:59:00Z</dcterms:created>
  <dc:creator>Microsoft</dc:creator>
  <cp:lastModifiedBy>ysgz</cp:lastModifiedBy>
  <dcterms:modified xsi:type="dcterms:W3CDTF">2025-10-22T10:56:52Z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D0CB16C1494D1E62B246F868EAE5D28D</vt:lpwstr>
  </property>
  <property fmtid="{D5CDD505-2E9C-101B-9397-08002B2CF9AE}" pid="4" name="KSOTemplateDocerSaveRecord">
    <vt:lpwstr>eyJoZGlkIjoiMTZmODBmNzQ3YzAyMzMxNzc1YTJmOTU3ZmYzZWNhNzciLCJ1c2VySWQiOiIzMjc5MjcwMzgifQ==</vt:lpwstr>
  </property>
</Properties>
</file>