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sz w:val="32"/>
          <w:szCs w:val="32"/>
          <w:lang w:val="en-US" w:eastAsia="zh-CN"/>
        </w:rPr>
        <w:t>附件</w:t>
      </w:r>
    </w:p>
    <w:p>
      <w:pPr>
        <w:keepNext w:val="0"/>
        <w:keepLines w:val="0"/>
        <w:pageBreakBefore w:val="0"/>
        <w:kinsoku/>
        <w:wordWrap/>
        <w:overflowPunct/>
        <w:topLinePunct w:val="0"/>
        <w:autoSpaceDE/>
        <w:autoSpaceDN/>
        <w:bidi w:val="0"/>
        <w:snapToGrid/>
        <w:spacing w:beforeLines="0" w:afterLines="0"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snapToGrid/>
        <w:spacing w:beforeLines="0" w:afterLines="0"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贵州省职业技能竞赛管理办法</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为深入贯彻习近平总书记关于技能人才工作的重要指示</w:t>
      </w:r>
      <w:r>
        <w:rPr>
          <w:rFonts w:hint="eastAsia" w:ascii="仿宋_GB2312" w:hAnsi="仿宋_GB2312" w:eastAsia="仿宋_GB2312" w:cs="仿宋_GB2312"/>
          <w:b w:val="0"/>
          <w:bCs w:val="0"/>
          <w:sz w:val="32"/>
          <w:szCs w:val="32"/>
          <w:lang w:eastAsia="zh-CN"/>
        </w:rPr>
        <w:t>批示</w:t>
      </w:r>
      <w:r>
        <w:rPr>
          <w:rFonts w:hint="eastAsia" w:ascii="仿宋_GB2312" w:hAnsi="仿宋_GB2312" w:eastAsia="仿宋_GB2312" w:cs="仿宋_GB2312"/>
          <w:b w:val="0"/>
          <w:bCs w:val="0"/>
          <w:sz w:val="32"/>
          <w:szCs w:val="32"/>
        </w:rPr>
        <w:t>精神，</w:t>
      </w:r>
      <w:r>
        <w:rPr>
          <w:rFonts w:hint="eastAsia" w:ascii="仿宋_GB2312" w:hAnsi="仿宋_GB2312" w:eastAsia="仿宋_GB2312" w:cs="仿宋_GB2312"/>
          <w:b w:val="0"/>
          <w:bCs w:val="0"/>
          <w:sz w:val="32"/>
          <w:szCs w:val="32"/>
          <w:lang w:val="en-US" w:eastAsia="zh-CN"/>
        </w:rPr>
        <w:t>规范和加强全省职业技能竞赛工作，推动技能人才队伍建设，</w:t>
      </w:r>
      <w:r>
        <w:rPr>
          <w:rFonts w:hint="eastAsia" w:ascii="仿宋_GB2312" w:hAnsi="仿宋_GB2312" w:eastAsia="仿宋_GB2312" w:cs="仿宋_GB2312"/>
          <w:b w:val="0"/>
          <w:bCs w:val="0"/>
          <w:sz w:val="32"/>
          <w:szCs w:val="32"/>
        </w:rPr>
        <w:t>根据有关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中华人民共和国劳动法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中华人民共和国职业教育法</w:t>
      </w:r>
      <w:r>
        <w:rPr>
          <w:rFonts w:hint="eastAsia" w:ascii="仿宋_GB2312" w:hAnsi="仿宋_GB2312" w:eastAsia="仿宋_GB2312" w:cs="仿宋_GB2312"/>
          <w:b w:val="0"/>
          <w:bCs w:val="0"/>
          <w:sz w:val="32"/>
          <w:szCs w:val="32"/>
          <w:lang w:eastAsia="zh-CN"/>
        </w:rPr>
        <w:t>》《中共中央办公厅 国务院办公厅印发</w:t>
      </w:r>
      <w:r>
        <w:rPr>
          <w:rFonts w:hint="eastAsia" w:ascii="仿宋_GB2312" w:hAnsi="仿宋_GB2312" w:eastAsia="仿宋_GB2312" w:cs="仿宋_GB2312"/>
          <w:b w:val="0"/>
          <w:bCs w:val="0"/>
          <w:sz w:val="32"/>
          <w:szCs w:val="32"/>
          <w:lang w:val="en-US" w:eastAsia="zh-CN"/>
        </w:rPr>
        <w:t>&lt;</w:t>
      </w:r>
      <w:r>
        <w:rPr>
          <w:rFonts w:hint="eastAsia" w:ascii="仿宋_GB2312" w:hAnsi="仿宋_GB2312" w:eastAsia="仿宋_GB2312" w:cs="仿宋_GB2312"/>
          <w:b w:val="0"/>
          <w:bCs w:val="0"/>
          <w:sz w:val="32"/>
          <w:szCs w:val="32"/>
          <w:lang w:eastAsia="zh-CN"/>
        </w:rPr>
        <w:t>关于加强新时代高技能人才队伍建设的意见</w:t>
      </w:r>
      <w:r>
        <w:rPr>
          <w:rFonts w:hint="eastAsia" w:ascii="仿宋_GB2312" w:hAnsi="仿宋_GB2312" w:eastAsia="仿宋_GB2312" w:cs="仿宋_GB2312"/>
          <w:b w:val="0"/>
          <w:bCs w:val="0"/>
          <w:sz w:val="32"/>
          <w:szCs w:val="32"/>
          <w:lang w:val="en-US" w:eastAsia="zh-CN"/>
        </w:rPr>
        <w:t>&gt;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等法律文件</w:t>
      </w:r>
      <w:r>
        <w:rPr>
          <w:rFonts w:hint="eastAsia" w:ascii="仿宋_GB2312" w:hAnsi="仿宋_GB2312" w:eastAsia="仿宋_GB2312" w:cs="仿宋_GB2312"/>
          <w:b w:val="0"/>
          <w:bCs w:val="0"/>
          <w:sz w:val="32"/>
          <w:szCs w:val="32"/>
        </w:rPr>
        <w:t>规定，</w:t>
      </w:r>
      <w:r>
        <w:rPr>
          <w:rFonts w:hint="eastAsia" w:ascii="仿宋_GB2312" w:hAnsi="仿宋_GB2312" w:eastAsia="仿宋_GB2312" w:cs="仿宋_GB2312"/>
          <w:b w:val="0"/>
          <w:bCs w:val="0"/>
          <w:sz w:val="32"/>
          <w:szCs w:val="32"/>
          <w:lang w:val="en-US" w:eastAsia="zh-CN"/>
        </w:rPr>
        <w:t>结合我省实际，制定本办法。</w:t>
      </w:r>
    </w:p>
    <w:p>
      <w:pPr>
        <w:keepNext w:val="0"/>
        <w:keepLines w:val="0"/>
        <w:pageBreakBefore w:val="0"/>
        <w:widowControl/>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b w:val="0"/>
          <w:bCs w:val="0"/>
          <w:sz w:val="32"/>
          <w:szCs w:val="32"/>
          <w:lang w:val="en-US" w:eastAsia="zh-CN"/>
        </w:rPr>
        <w:t xml:space="preserve">  本办法所称职业技能竞赛是指根据国家职业技能标准、行业规范或特定职业（工种）技能要求，结合生产和服务工作实际，开展的以考核操作技能为主要内容的群众性竞赛活动。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鼓励和支持广泛开展职业技能竞赛活动，为广大技能人才提供展示精湛技能、相互切磋技艺的平台，通过</w:t>
      </w:r>
      <w:r>
        <w:rPr>
          <w:rFonts w:hint="eastAsia" w:ascii="仿宋_GB2312" w:hAnsi="仿宋_GB2312" w:eastAsia="仿宋_GB2312" w:cs="仿宋_GB2312"/>
          <w:b w:val="0"/>
          <w:bCs w:val="0"/>
          <w:kern w:val="2"/>
          <w:sz w:val="32"/>
          <w:szCs w:val="32"/>
          <w:lang w:bidi="ar-SA"/>
        </w:rPr>
        <w:t>以赛促学、以赛促训、以赛促建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全面提高技能人才工作能力和水平。大力弘扬</w:t>
      </w:r>
      <w:r>
        <w:rPr>
          <w:rFonts w:hint="eastAsia" w:ascii="仿宋_GB2312" w:hAnsi="仿宋_GB2312" w:eastAsia="仿宋_GB2312" w:cs="仿宋_GB2312"/>
          <w:b w:val="0"/>
          <w:bCs w:val="0"/>
          <w:kern w:val="2"/>
          <w:sz w:val="32"/>
          <w:szCs w:val="32"/>
          <w:lang w:bidi="ar-SA"/>
        </w:rPr>
        <w:t>劳模精神、劳动精神、工匠精神，</w:t>
      </w:r>
      <w:r>
        <w:rPr>
          <w:rFonts w:hint="eastAsia" w:ascii="仿宋_GB2312" w:hAnsi="仿宋_GB2312" w:eastAsia="仿宋_GB2312" w:cs="仿宋_GB2312"/>
          <w:b w:val="0"/>
          <w:bCs w:val="0"/>
          <w:kern w:val="2"/>
          <w:sz w:val="32"/>
          <w:szCs w:val="32"/>
          <w:lang w:val="en-US" w:eastAsia="zh-CN" w:bidi="ar-SA"/>
        </w:rPr>
        <w:t>积极营造劳动光荣、技能宝贵、创造伟大的良好社会氛围，激励更多劳动者特别是青年一代走技能成才、技能报国之路，为促进就业创业和经济高质量发展提供技能人才支撑。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600" w:lineRule="exact"/>
        <w:ind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第四条</w:t>
      </w:r>
      <w:r>
        <w:rPr>
          <w:rFonts w:hint="eastAsia" w:ascii="仿宋_GB2312" w:hAnsi="仿宋_GB2312" w:eastAsia="仿宋_GB2312" w:cs="仿宋_GB2312"/>
          <w:b w:val="0"/>
          <w:bCs w:val="0"/>
          <w:kern w:val="2"/>
          <w:sz w:val="32"/>
          <w:szCs w:val="32"/>
          <w:lang w:val="en-US" w:eastAsia="zh-CN" w:bidi="ar-SA"/>
        </w:rPr>
        <w:t xml:space="preserve">  开展职业技能竞赛，应紧贴经济发展和社会需求，与技能人才评价、职业技能培训、员工业绩考核、企业生产和技术革新紧密结合，与世界技能大赛、中华人民共和国职业技能大赛有效衔接，借鉴世赛国赛先进理念和经验做法，改进组织模式，科学规范开展，不断提升职业技能竞赛科学化、规范化、专业化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600" w:lineRule="exact"/>
        <w:ind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val="en-US" w:eastAsia="zh-CN"/>
        </w:rPr>
        <w:t xml:space="preserve">第五条 </w:t>
      </w:r>
      <w:r>
        <w:rPr>
          <w:rFonts w:hint="eastAsia" w:ascii="仿宋_GB2312" w:hAnsi="仿宋_GB2312" w:eastAsia="仿宋_GB2312" w:cs="仿宋_GB2312"/>
          <w:b w:val="0"/>
          <w:bCs w:val="0"/>
          <w:i w:val="0"/>
          <w:caps w:val="0"/>
          <w:color w:val="404040"/>
          <w:spacing w:val="0"/>
          <w:sz w:val="32"/>
          <w:szCs w:val="32"/>
          <w:lang w:val="en-US" w:eastAsia="zh-CN"/>
        </w:rPr>
        <w:t> </w:t>
      </w:r>
      <w:r>
        <w:rPr>
          <w:rFonts w:hint="eastAsia" w:ascii="仿宋_GB2312" w:hAnsi="仿宋_GB2312" w:eastAsia="仿宋_GB2312" w:cs="仿宋_GB2312"/>
          <w:b w:val="0"/>
          <w:bCs w:val="0"/>
          <w:kern w:val="2"/>
          <w:sz w:val="32"/>
          <w:szCs w:val="32"/>
          <w:lang w:val="en-US" w:eastAsia="zh-CN" w:bidi="ar-SA"/>
        </w:rPr>
        <w:t>举办竞赛应坚持公平、公正、公开原则，发挥政府主导作用，鼓励社会力量参与，注重社会效益和成果转化，严格执行国家有关法律、法规，坚持勤俭节约、反对铺张浪费。</w:t>
      </w:r>
    </w:p>
    <w:p>
      <w:pPr>
        <w:keepNext w:val="0"/>
        <w:keepLines w:val="0"/>
        <w:pageBreakBefore w:val="0"/>
        <w:kinsoku/>
        <w:overflowPunct/>
        <w:topLinePunct w:val="0"/>
        <w:autoSpaceDE/>
        <w:autoSpaceDN/>
        <w:bidi w:val="0"/>
        <w:spacing w:beforeLines="0" w:afterLines="0" w:line="600" w:lineRule="exact"/>
        <w:ind w:firstLine="640" w:firstLineChars="200"/>
        <w:textAlignment w:val="auto"/>
        <w:rPr>
          <w:rStyle w:val="15"/>
          <w:rFonts w:hint="default" w:ascii="Times New Roman" w:eastAsia="方正仿宋_GBK"/>
          <w:sz w:val="32"/>
          <w:szCs w:val="32"/>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b w:val="0"/>
          <w:bCs w:val="0"/>
          <w:i w:val="0"/>
          <w:caps w:val="0"/>
          <w:color w:val="404040"/>
          <w:spacing w:val="0"/>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本办法适用于贵州省行政区域内人力资源社会保障部门主办、参与主办及统筹管理的职业技能竞赛（以下简称“竞赛”）。</w:t>
      </w:r>
    </w:p>
    <w:p>
      <w:pPr>
        <w:keepNext w:val="0"/>
        <w:keepLines w:val="0"/>
        <w:pageBreakBefore w:val="0"/>
        <w:kinsoku/>
        <w:wordWrap/>
        <w:overflowPunct/>
        <w:topLinePunct w:val="0"/>
        <w:autoSpaceDE/>
        <w:autoSpaceDN/>
        <w:bidi w:val="0"/>
        <w:adjustRightInd/>
        <w:snapToGrid w:val="0"/>
        <w:spacing w:beforeLines="0" w:afterLines="0" w:line="600" w:lineRule="exact"/>
        <w:jc w:val="both"/>
        <w:textAlignment w:val="auto"/>
        <w:rPr>
          <w:rFonts w:hint="eastAsia" w:ascii="仿宋_GB2312" w:hAnsi="仿宋_GB2312" w:eastAsia="仿宋_GB2312" w:cs="仿宋_GB2312"/>
          <w:b w:val="0"/>
          <w:bCs w:val="0"/>
          <w:kern w:val="2"/>
          <w:sz w:val="32"/>
          <w:szCs w:val="32"/>
          <w:lang w:bidi="ar"/>
        </w:rPr>
      </w:pPr>
    </w:p>
    <w:p>
      <w:pPr>
        <w:keepNext w:val="0"/>
        <w:keepLines w:val="0"/>
        <w:pageBreakBefore w:val="0"/>
        <w:numPr>
          <w:ilvl w:val="0"/>
          <w:numId w:val="1"/>
        </w:numPr>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竞赛</w:t>
      </w:r>
      <w:r>
        <w:rPr>
          <w:rFonts w:hint="eastAsia" w:ascii="黑体" w:hAnsi="黑体" w:eastAsia="黑体" w:cs="黑体"/>
          <w:b w:val="0"/>
          <w:bCs w:val="0"/>
          <w:kern w:val="0"/>
          <w:sz w:val="32"/>
          <w:szCs w:val="32"/>
          <w:lang w:val="en-US" w:eastAsia="zh-CN"/>
        </w:rPr>
        <w:t>体系</w:t>
      </w:r>
    </w:p>
    <w:p>
      <w:pPr>
        <w:keepNext w:val="0"/>
        <w:keepLines w:val="0"/>
        <w:pageBreakBefore w:val="0"/>
        <w:numPr>
          <w:ilvl w:val="0"/>
          <w:numId w:val="0"/>
        </w:numPr>
        <w:kinsoku/>
        <w:wordWrap/>
        <w:overflowPunct/>
        <w:topLinePunct w:val="0"/>
        <w:autoSpaceDE/>
        <w:autoSpaceDN/>
        <w:bidi w:val="0"/>
        <w:adjustRightInd/>
        <w:snapToGrid w:val="0"/>
        <w:spacing w:beforeLines="0" w:afterLines="0" w:line="600" w:lineRule="exact"/>
        <w:jc w:val="both"/>
        <w:textAlignment w:val="auto"/>
        <w:rPr>
          <w:rFonts w:hint="eastAsia" w:eastAsia="仿宋_GB2312"/>
          <w:b w:val="0"/>
          <w:bCs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rPr>
        <w:t>第七条</w:t>
      </w:r>
      <w:r>
        <w:rPr>
          <w:rFonts w:hint="eastAsia" w:eastAsia="仿宋_GB2312"/>
          <w:b w:val="0"/>
          <w:bCs w:val="0"/>
          <w:kern w:val="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省人力资源社会保障厅负责全省职业技能竞赛的统筹管理、政策制定、监督检查、技术指导和服务工作，设立贵州省职业技能竞赛办公室，由贵州省职业技能鉴定考评指导中心具体负责。各级人力资源社会保障部门具体负责本级竞赛的综合管理工作。</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eastAsia="黑体"/>
          <w:b w:val="0"/>
          <w:bCs w:val="0"/>
          <w:sz w:val="32"/>
          <w:szCs w:val="32"/>
        </w:rPr>
        <w:t>第</w:t>
      </w:r>
      <w:r>
        <w:rPr>
          <w:rFonts w:hint="eastAsia" w:eastAsia="黑体"/>
          <w:b w:val="0"/>
          <w:bCs w:val="0"/>
          <w:sz w:val="32"/>
          <w:szCs w:val="32"/>
          <w:lang w:val="en-US" w:eastAsia="zh-CN"/>
        </w:rPr>
        <w:t>八</w:t>
      </w:r>
      <w:r>
        <w:rPr>
          <w:rFonts w:hint="eastAsia" w:eastAsia="黑体"/>
          <w:b w:val="0"/>
          <w:bCs w:val="0"/>
          <w:sz w:val="32"/>
          <w:szCs w:val="32"/>
        </w:rPr>
        <w:t xml:space="preserve">条 </w:t>
      </w:r>
      <w:r>
        <w:rPr>
          <w:rFonts w:hint="eastAsia" w:ascii="仿宋_GB2312" w:hAnsi="仿宋_GB2312" w:eastAsia="仿宋_GB2312" w:cs="仿宋_GB2312"/>
          <w:b w:val="0"/>
          <w:bCs w:val="0"/>
          <w:i w:val="0"/>
          <w:caps w:val="0"/>
          <w:color w:val="404040"/>
          <w:spacing w:val="0"/>
          <w:kern w:val="0"/>
          <w:sz w:val="32"/>
          <w:szCs w:val="32"/>
          <w:lang w:val="en-US" w:eastAsia="zh-CN" w:bidi="ar"/>
        </w:rPr>
        <w:t xml:space="preserve"> </w:t>
      </w:r>
      <w:r>
        <w:rPr>
          <w:rFonts w:hint="eastAsia" w:ascii="仿宋_GB2312" w:hAnsi="仿宋_GB2312" w:eastAsia="仿宋_GB2312" w:cs="仿宋_GB2312"/>
          <w:b w:val="0"/>
          <w:bCs w:val="0"/>
          <w:kern w:val="2"/>
          <w:sz w:val="32"/>
          <w:szCs w:val="32"/>
          <w:lang w:val="en-US" w:eastAsia="zh-CN" w:bidi="ar-SA"/>
        </w:rPr>
        <w:t>全省职业技能竞赛分为省、市（州）、县（市、区）级竞赛、企业和院校职业技能比赛四个层次。</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（一）省级竞赛</w:t>
      </w:r>
    </w:p>
    <w:p>
      <w:pPr>
        <w:pStyle w:val="4"/>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1.贵州省职业技能大赛，由省人民政府主办，省人力资源社会保障厅、各市（州）人民政府共同承办，是省级竞赛最高赛事，原则上每两年举办一届，冠名“贵州省第×届职业技能大赛”。</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2.贵州省行业职业技能竞赛，按层级分省级一、二类竞赛，冠名“××年贵州技能大赛——××行业（系统）××职业（工种）竞赛”。省级一类竞赛，由省人力资源社会保障厅主办或联合省直有关部门共同主办的跨行业（系统）、跨区域的综合性竞赛，省级二类赛由省职业技能鉴定考评指导中心主办或联合省级行业协会、大型企业共同主办的单一行业（企业）赛。</w:t>
      </w:r>
      <w:r>
        <w:rPr>
          <w:rFonts w:hint="eastAsia" w:ascii="仿宋_GB2312" w:hAnsi="仿宋_GB2312" w:eastAsia="仿宋_GB2312" w:cs="仿宋_GB2312"/>
          <w:sz w:val="32"/>
          <w:szCs w:val="32"/>
          <w:lang w:val="en-US" w:eastAsia="zh-CN"/>
        </w:rPr>
        <w:t>同一申报单位原则上每年只能申报一个省级行业职业技能竞赛，同一申报单位相同职业（工种）原则上两年内不重复举办，同一年度同一职业（工种）原则上不重复举办，国家级竞赛另有要求的除外。</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贵州省专项职业技能大赛，由省人力资源社会保障厅主办或联合省直有关部门共同主办，结合全国专项职业技能大赛，服务全省产业发展需要，针对特定地区、行业、群体等开展的职业技能竞赛。举办周期根据情况而定。</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（二）市（州）、县(市、区)级竞赛</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市（州）、县（市、区）级竞赛指本市（州）、县（市、区）行政区域内的职业技能竞赛活动，竞赛周期参照省级竞赛结合自身情况确定。</w:t>
      </w:r>
    </w:p>
    <w:p>
      <w:pPr>
        <w:pStyle w:val="4"/>
        <w:keepNext w:val="0"/>
        <w:keepLines w:val="0"/>
        <w:pageBreakBefore w:val="0"/>
        <w:kinsoku/>
        <w:wordWrap/>
        <w:overflowPunct/>
        <w:topLinePunct w:val="0"/>
        <w:autoSpaceDE/>
        <w:autoSpaceDN/>
        <w:bidi w:val="0"/>
        <w:adjustRightInd/>
        <w:snapToGrid w:val="0"/>
        <w:spacing w:beforeLines="0" w:afterLines="0" w:line="600" w:lineRule="exact"/>
        <w:ind w:firstLine="604" w:firstLineChars="189"/>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（三）企业和院校职业技能比赛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SA"/>
        </w:rPr>
        <w:t>企业和院校职业技能比赛是开展职业技能竞赛的基础和重要组成部分。鼓励开展更加广泛深入、形式各异的技术比武活动，以赛代评、以赛代训、以赛练兵、以赛选才。竞赛周期和组织实施由企业和院校自行确定。</w:t>
      </w:r>
    </w:p>
    <w:p>
      <w:pPr>
        <w:keepNext w:val="0"/>
        <w:keepLines w:val="0"/>
        <w:pageBreakBefore w:val="0"/>
        <w:numPr>
          <w:ilvl w:val="0"/>
          <w:numId w:val="0"/>
        </w:numPr>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kern w:val="0"/>
          <w:sz w:val="32"/>
          <w:szCs w:val="32"/>
        </w:rPr>
      </w:pPr>
    </w:p>
    <w:p>
      <w:pPr>
        <w:keepNext w:val="0"/>
        <w:keepLines w:val="0"/>
        <w:pageBreakBefore w:val="0"/>
        <w:numPr>
          <w:ilvl w:val="0"/>
          <w:numId w:val="0"/>
        </w:numPr>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 xml:space="preserve">第三章 </w:t>
      </w:r>
      <w:r>
        <w:rPr>
          <w:rFonts w:hint="eastAsia" w:ascii="黑体" w:hAnsi="黑体" w:eastAsia="黑体" w:cs="黑体"/>
          <w:b w:val="0"/>
          <w:bCs w:val="0"/>
          <w:kern w:val="0"/>
          <w:sz w:val="32"/>
          <w:szCs w:val="32"/>
          <w:lang w:val="en-US" w:eastAsia="zh-CN"/>
        </w:rPr>
        <w:t>申报</w:t>
      </w:r>
      <w:r>
        <w:rPr>
          <w:rFonts w:hint="eastAsia" w:ascii="黑体" w:hAnsi="黑体" w:eastAsia="黑体" w:cs="黑体"/>
          <w:b w:val="0"/>
          <w:bCs w:val="0"/>
          <w:kern w:val="0"/>
          <w:sz w:val="32"/>
          <w:szCs w:val="32"/>
        </w:rPr>
        <w:t>备案</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黑体" w:hAnsi="黑体" w:eastAsia="黑体" w:cs="黑体"/>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i w:val="0"/>
          <w:caps w:val="0"/>
          <w:color w:val="333333"/>
          <w:spacing w:val="0"/>
          <w:sz w:val="32"/>
          <w:szCs w:val="32"/>
          <w:shd w:val="clear" w:color="auto" w:fill="FFFFFF"/>
        </w:rPr>
        <w:t>第九条</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b w:val="0"/>
          <w:bCs w:val="0"/>
          <w:kern w:val="2"/>
          <w:sz w:val="32"/>
          <w:szCs w:val="32"/>
          <w:lang w:val="en-US" w:eastAsia="zh-CN" w:bidi="ar-SA"/>
        </w:rPr>
        <w:t>全省各级各类竞赛活动实行申报、备案、发布制度。</w:t>
      </w:r>
    </w:p>
    <w:p>
      <w:pPr>
        <w:pStyle w:val="5"/>
        <w:keepNext w:val="0"/>
        <w:keepLines w:val="0"/>
        <w:pageBreakBefore w:val="0"/>
        <w:tabs>
          <w:tab w:val="left" w:pos="180"/>
        </w:tabs>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i w:val="0"/>
          <w:caps w:val="0"/>
          <w:color w:val="333333"/>
          <w:spacing w:val="0"/>
          <w:sz w:val="32"/>
          <w:szCs w:val="32"/>
          <w:shd w:val="clear" w:color="auto" w:fill="FFFFFF"/>
        </w:rPr>
        <w:t>第十条</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b w:val="0"/>
          <w:bCs w:val="0"/>
          <w:kern w:val="2"/>
          <w:sz w:val="32"/>
          <w:szCs w:val="32"/>
          <w:lang w:val="en-US" w:eastAsia="zh-CN" w:bidi="ar-SA"/>
        </w:rPr>
        <w:t>全省各级各类竞赛计划应于上一年度12月向同级人力资源社会保障部门集中申报。各级人力资源社会保障部门负责对所辖部门、企业等单位申报计划的备案工作，每年年初及时向社会公开发布总体计划。</w:t>
      </w:r>
    </w:p>
    <w:p>
      <w:pPr>
        <w:pStyle w:val="5"/>
        <w:keepNext w:val="0"/>
        <w:keepLines w:val="0"/>
        <w:pageBreakBefore w:val="0"/>
        <w:tabs>
          <w:tab w:val="left" w:pos="180"/>
        </w:tabs>
        <w:kinsoku/>
        <w:wordWrap/>
        <w:overflowPunct/>
        <w:topLinePunct w:val="0"/>
        <w:autoSpaceDE/>
        <w:autoSpaceDN/>
        <w:bidi w:val="0"/>
        <w:adjustRightInd w:val="0"/>
        <w:snapToGrid w:val="0"/>
        <w:spacing w:beforeLines="0" w:after="0" w:afterLines="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zh-CN" w:eastAsia="zh-CN" w:bidi="ar-SA"/>
        </w:rPr>
        <w:t>各级各类职业技能竞赛活动一经发布，应严格按照确认的职业技能竞赛方案组织实施，主办单位不得随意取消、更改职业技能竞赛活动。由于特殊原因确需取消、更改的，应按照程序报请同级</w:t>
      </w:r>
      <w:r>
        <w:rPr>
          <w:rFonts w:hint="eastAsia" w:ascii="仿宋_GB2312" w:hAnsi="仿宋_GB2312" w:eastAsia="仿宋_GB2312" w:cs="仿宋_GB2312"/>
          <w:b w:val="0"/>
          <w:bCs w:val="0"/>
          <w:kern w:val="2"/>
          <w:sz w:val="32"/>
          <w:szCs w:val="32"/>
          <w:lang w:val="en-US" w:eastAsia="zh-CN" w:bidi="ar-SA"/>
        </w:rPr>
        <w:t>人力资源社会保障部门</w:t>
      </w:r>
      <w:r>
        <w:rPr>
          <w:rFonts w:hint="eastAsia" w:ascii="仿宋_GB2312" w:hAnsi="仿宋_GB2312" w:eastAsia="仿宋_GB2312" w:cs="仿宋_GB2312"/>
          <w:b w:val="0"/>
          <w:bCs w:val="0"/>
          <w:kern w:val="2"/>
          <w:sz w:val="32"/>
          <w:szCs w:val="32"/>
          <w:lang w:val="zh-CN" w:eastAsia="zh-CN" w:bidi="ar-SA"/>
        </w:rPr>
        <w:t>同意，并</w:t>
      </w:r>
      <w:r>
        <w:rPr>
          <w:rFonts w:hint="eastAsia" w:ascii="仿宋_GB2312" w:hAnsi="仿宋_GB2312" w:eastAsia="仿宋_GB2312" w:cs="仿宋_GB2312"/>
          <w:b w:val="0"/>
          <w:bCs w:val="0"/>
          <w:kern w:val="2"/>
          <w:sz w:val="32"/>
          <w:szCs w:val="32"/>
          <w:lang w:val="en-US" w:eastAsia="zh-CN" w:bidi="ar-SA"/>
        </w:rPr>
        <w:t>妥善</w:t>
      </w:r>
      <w:r>
        <w:rPr>
          <w:rFonts w:hint="eastAsia" w:ascii="仿宋_GB2312" w:hAnsi="仿宋_GB2312" w:eastAsia="仿宋_GB2312" w:cs="仿宋_GB2312"/>
          <w:b w:val="0"/>
          <w:bCs w:val="0"/>
          <w:kern w:val="2"/>
          <w:sz w:val="32"/>
          <w:szCs w:val="32"/>
          <w:lang w:val="zh-CN" w:eastAsia="zh-CN" w:bidi="ar-SA"/>
        </w:rPr>
        <w:t>做好</w:t>
      </w:r>
      <w:r>
        <w:rPr>
          <w:rFonts w:hint="eastAsia" w:ascii="仿宋_GB2312" w:hAnsi="仿宋_GB2312" w:eastAsia="仿宋_GB2312" w:cs="仿宋_GB2312"/>
          <w:b w:val="0"/>
          <w:bCs w:val="0"/>
          <w:kern w:val="2"/>
          <w:sz w:val="32"/>
          <w:szCs w:val="32"/>
          <w:lang w:val="en-US" w:eastAsia="zh-CN" w:bidi="ar-SA"/>
        </w:rPr>
        <w:t>后续</w:t>
      </w:r>
      <w:r>
        <w:rPr>
          <w:rFonts w:hint="eastAsia" w:ascii="仿宋_GB2312" w:hAnsi="仿宋_GB2312" w:eastAsia="仿宋_GB2312" w:cs="仿宋_GB2312"/>
          <w:b w:val="0"/>
          <w:bCs w:val="0"/>
          <w:kern w:val="2"/>
          <w:sz w:val="32"/>
          <w:szCs w:val="32"/>
          <w:lang w:val="zh-CN" w:eastAsia="zh-CN" w:bidi="ar-SA"/>
        </w:rPr>
        <w:t>工作。</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b w:val="0"/>
          <w:bCs w:val="0"/>
          <w:kern w:val="2"/>
          <w:sz w:val="32"/>
          <w:szCs w:val="32"/>
          <w:lang w:val="zh-CN" w:eastAsia="zh-CN" w:bidi="ar-SA"/>
        </w:rPr>
      </w:pPr>
      <w:r>
        <w:rPr>
          <w:rFonts w:hint="eastAsia" w:ascii="黑体" w:hAnsi="黑体" w:eastAsia="黑体" w:cs="黑体"/>
          <w:b w:val="0"/>
          <w:bCs w:val="0"/>
          <w:i w:val="0"/>
          <w:caps w:val="0"/>
          <w:color w:val="333333"/>
          <w:spacing w:val="0"/>
          <w:kern w:val="2"/>
          <w:sz w:val="32"/>
          <w:szCs w:val="32"/>
          <w:shd w:val="clear" w:color="auto" w:fill="FFFFFF"/>
          <w:lang w:val="en-US" w:eastAsia="zh-CN" w:bidi="ar-SA"/>
        </w:rPr>
        <w:t>第十一条</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b w:val="0"/>
          <w:bCs w:val="0"/>
          <w:kern w:val="2"/>
          <w:sz w:val="32"/>
          <w:szCs w:val="32"/>
          <w:lang w:val="zh-CN" w:eastAsia="zh-CN" w:bidi="ar-SA"/>
        </w:rPr>
        <w:t>各级各类竞赛应于启动前</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zh-CN" w:eastAsia="zh-CN" w:bidi="ar-SA"/>
        </w:rPr>
        <w:t>个月，将组织实施方案报同级</w:t>
      </w:r>
      <w:r>
        <w:rPr>
          <w:rFonts w:hint="eastAsia" w:ascii="仿宋_GB2312" w:hAnsi="仿宋_GB2312" w:eastAsia="仿宋_GB2312" w:cs="仿宋_GB2312"/>
          <w:b w:val="0"/>
          <w:bCs w:val="0"/>
          <w:kern w:val="2"/>
          <w:sz w:val="32"/>
          <w:szCs w:val="32"/>
          <w:lang w:val="en-US" w:eastAsia="zh-CN" w:bidi="ar-SA"/>
        </w:rPr>
        <w:t>人力资源社会保障部门</w:t>
      </w:r>
      <w:r>
        <w:rPr>
          <w:rFonts w:hint="eastAsia" w:ascii="仿宋_GB2312" w:hAnsi="仿宋_GB2312" w:eastAsia="仿宋_GB2312" w:cs="仿宋_GB2312"/>
          <w:b w:val="0"/>
          <w:bCs w:val="0"/>
          <w:kern w:val="2"/>
          <w:sz w:val="32"/>
          <w:szCs w:val="32"/>
          <w:lang w:val="zh-CN" w:eastAsia="zh-CN" w:bidi="ar-SA"/>
        </w:rPr>
        <w:t>备案。竞赛活动实际参赛人数应达到一定规模。</w:t>
      </w:r>
    </w:p>
    <w:p>
      <w:pPr>
        <w:keepNext w:val="0"/>
        <w:keepLines w:val="0"/>
        <w:pageBreakBefore w:val="0"/>
        <w:kinsoku/>
        <w:wordWrap/>
        <w:overflowPunct/>
        <w:topLinePunct w:val="0"/>
        <w:autoSpaceDE/>
        <w:autoSpaceDN/>
        <w:bidi w:val="0"/>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kern w:val="2"/>
          <w:sz w:val="32"/>
          <w:szCs w:val="32"/>
          <w:lang w:val="zh-CN" w:eastAsia="zh-CN" w:bidi="ar-SA"/>
        </w:rPr>
      </w:pPr>
      <w:r>
        <w:rPr>
          <w:rFonts w:hint="eastAsia" w:ascii="黑体" w:hAnsi="黑体" w:eastAsia="黑体" w:cs="黑体"/>
          <w:b w:val="0"/>
          <w:bCs w:val="0"/>
          <w:i w:val="0"/>
          <w:caps w:val="0"/>
          <w:color w:val="333333"/>
          <w:spacing w:val="0"/>
          <w:kern w:val="2"/>
          <w:sz w:val="32"/>
          <w:szCs w:val="32"/>
          <w:shd w:val="clear" w:color="auto" w:fill="FFFFFF"/>
          <w:lang w:val="en-US" w:eastAsia="zh-CN" w:bidi="ar-SA"/>
        </w:rPr>
        <w:t>第十二条</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b w:val="0"/>
          <w:bCs w:val="0"/>
          <w:kern w:val="2"/>
          <w:sz w:val="32"/>
          <w:szCs w:val="32"/>
          <w:lang w:val="zh-CN" w:eastAsia="zh-CN" w:bidi="ar-SA"/>
        </w:rPr>
        <w:t>拟邀请境外机构和人员参与竞赛活动，举办区域性竞赛、国际邀请赛，应事先提供其基本情况，按规定</w:t>
      </w:r>
      <w:r>
        <w:rPr>
          <w:rFonts w:hint="eastAsia" w:ascii="仿宋_GB2312" w:hAnsi="仿宋_GB2312" w:eastAsia="仿宋_GB2312" w:cs="仿宋_GB2312"/>
          <w:b w:val="0"/>
          <w:bCs w:val="0"/>
          <w:kern w:val="2"/>
          <w:sz w:val="32"/>
          <w:szCs w:val="32"/>
          <w:lang w:val="en-US" w:eastAsia="zh-CN" w:bidi="ar-SA"/>
        </w:rPr>
        <w:t>程序逐级报备后</w:t>
      </w:r>
      <w:r>
        <w:rPr>
          <w:rFonts w:hint="eastAsia" w:ascii="仿宋_GB2312" w:hAnsi="仿宋_GB2312" w:eastAsia="仿宋_GB2312" w:cs="仿宋_GB2312"/>
          <w:b w:val="0"/>
          <w:bCs w:val="0"/>
          <w:kern w:val="2"/>
          <w:sz w:val="32"/>
          <w:szCs w:val="32"/>
          <w:lang w:val="zh-CN" w:eastAsia="zh-CN" w:bidi="ar-SA"/>
        </w:rPr>
        <w:t>方可举办。</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both"/>
        <w:textAlignment w:val="auto"/>
        <w:rPr>
          <w:rFonts w:hint="eastAsia" w:ascii="黑体" w:hAnsi="黑体" w:eastAsia="黑体" w:cs="黑体"/>
          <w:b w:val="0"/>
          <w:bCs w:val="0"/>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center"/>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第四章  组织实施</w:t>
      </w:r>
    </w:p>
    <w:p>
      <w:pPr>
        <w:pStyle w:val="2"/>
        <w:keepNext w:val="0"/>
        <w:keepLines w:val="0"/>
        <w:pageBreakBefore w:val="0"/>
        <w:kinsoku/>
        <w:wordWrap/>
        <w:overflowPunct/>
        <w:topLinePunct w:val="0"/>
        <w:autoSpaceDE/>
        <w:autoSpaceDN/>
        <w:bidi w:val="0"/>
        <w:snapToGrid w:val="0"/>
        <w:spacing w:beforeLines="0" w:afterLines="0" w:line="600" w:lineRule="exact"/>
        <w:textAlignment w:val="auto"/>
        <w:rPr>
          <w:b w:val="0"/>
          <w:bCs w:val="0"/>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eastAsia="黑体"/>
          <w:b w:val="0"/>
          <w:bCs w:val="0"/>
          <w:sz w:val="32"/>
          <w:szCs w:val="32"/>
        </w:rPr>
        <w:t>第</w:t>
      </w:r>
      <w:r>
        <w:rPr>
          <w:rFonts w:hint="eastAsia" w:eastAsia="黑体"/>
          <w:b w:val="0"/>
          <w:bCs w:val="0"/>
          <w:sz w:val="32"/>
          <w:szCs w:val="32"/>
          <w:lang w:val="en-US" w:eastAsia="zh-CN"/>
        </w:rPr>
        <w:t>十三</w:t>
      </w:r>
      <w:r>
        <w:rPr>
          <w:rFonts w:eastAsia="黑体"/>
          <w:b w:val="0"/>
          <w:bCs w:val="0"/>
          <w:sz w:val="32"/>
          <w:szCs w:val="32"/>
        </w:rPr>
        <w:t>条</w:t>
      </w:r>
      <w:r>
        <w:rPr>
          <w:rFonts w:hint="eastAsia" w:eastAsia="黑体"/>
          <w:b w:val="0"/>
          <w:bCs w:val="0"/>
          <w:sz w:val="32"/>
          <w:szCs w:val="32"/>
        </w:rPr>
        <w:t xml:space="preserve"> </w:t>
      </w:r>
      <w:r>
        <w:rPr>
          <w:rFonts w:hint="eastAsia" w:eastAsia="黑体"/>
          <w:b w:val="0"/>
          <w:bCs w:val="0"/>
          <w:sz w:val="32"/>
          <w:szCs w:val="32"/>
          <w:lang w:val="en-US" w:eastAsia="zh-CN"/>
        </w:rPr>
        <w:t xml:space="preserve"> </w:t>
      </w:r>
      <w:r>
        <w:rPr>
          <w:rFonts w:hint="eastAsia" w:ascii="仿宋_GB2312" w:hAnsi="仿宋_GB2312" w:eastAsia="仿宋_GB2312" w:cs="仿宋_GB2312"/>
          <w:b w:val="0"/>
          <w:bCs w:val="0"/>
          <w:kern w:val="2"/>
          <w:sz w:val="32"/>
          <w:szCs w:val="32"/>
          <w:lang w:val="zh-CN" w:eastAsia="zh-CN" w:bidi="ar-SA"/>
        </w:rPr>
        <w:t>职业技能竞赛的组织实施流程应包括开幕式、竞赛实施、闭幕式等。开闭幕式应节俭、精简，突出大赛主题特点，闭幕式应设置颁奖环节，</w:t>
      </w:r>
      <w:r>
        <w:rPr>
          <w:rFonts w:hint="eastAsia" w:ascii="仿宋_GB2312" w:hAnsi="仿宋_GB2312" w:eastAsia="仿宋_GB2312" w:cs="仿宋_GB2312"/>
          <w:b w:val="0"/>
          <w:bCs w:val="0"/>
          <w:kern w:val="2"/>
          <w:sz w:val="32"/>
          <w:szCs w:val="32"/>
          <w:lang w:val="en-US" w:eastAsia="zh-CN" w:bidi="ar-SA"/>
        </w:rPr>
        <w:t>具体实施可根据实际情况而定。</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b w:val="0"/>
          <w:bCs w:val="0"/>
          <w:kern w:val="2"/>
          <w:sz w:val="32"/>
          <w:szCs w:val="32"/>
          <w:lang w:val="zh-CN" w:eastAsia="zh-CN" w:bidi="ar-SA"/>
        </w:rPr>
      </w:pPr>
      <w:r>
        <w:rPr>
          <w:rFonts w:hint="eastAsia" w:eastAsia="黑体"/>
          <w:b w:val="0"/>
          <w:bCs w:val="0"/>
          <w:sz w:val="32"/>
          <w:szCs w:val="32"/>
        </w:rPr>
        <w:t>第十</w:t>
      </w:r>
      <w:r>
        <w:rPr>
          <w:rFonts w:hint="eastAsia" w:eastAsia="黑体"/>
          <w:b w:val="0"/>
          <w:bCs w:val="0"/>
          <w:sz w:val="32"/>
          <w:szCs w:val="32"/>
          <w:lang w:val="en-US" w:eastAsia="zh-CN"/>
        </w:rPr>
        <w:t>四</w:t>
      </w:r>
      <w:r>
        <w:rPr>
          <w:rFonts w:hint="eastAsia" w:eastAsia="黑体"/>
          <w:b w:val="0"/>
          <w:bCs w:val="0"/>
          <w:sz w:val="32"/>
          <w:szCs w:val="32"/>
        </w:rPr>
        <w:t xml:space="preserve">条 </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b w:val="0"/>
          <w:bCs w:val="0"/>
          <w:kern w:val="2"/>
          <w:sz w:val="32"/>
          <w:szCs w:val="32"/>
          <w:lang w:val="zh-CN" w:eastAsia="zh-CN" w:bidi="ar-SA"/>
        </w:rPr>
        <w:t>省级竞赛应围绕全省重点产业、重点行业发展，结合世界技能大赛、</w:t>
      </w:r>
      <w:r>
        <w:rPr>
          <w:rFonts w:hint="eastAsia" w:ascii="仿宋_GB2312" w:hAnsi="仿宋_GB2312" w:eastAsia="仿宋_GB2312" w:cs="仿宋_GB2312"/>
          <w:b w:val="0"/>
          <w:bCs w:val="0"/>
          <w:kern w:val="2"/>
          <w:sz w:val="32"/>
          <w:szCs w:val="32"/>
          <w:lang w:val="en-US" w:eastAsia="zh-CN" w:bidi="ar-SA"/>
        </w:rPr>
        <w:t>中华人民共和国职业技能大赛、全国行业职业技能</w:t>
      </w:r>
      <w:r>
        <w:rPr>
          <w:rFonts w:hint="eastAsia" w:ascii="仿宋_GB2312" w:hAnsi="仿宋_GB2312" w:eastAsia="仿宋_GB2312" w:cs="仿宋_GB2312"/>
          <w:b w:val="0"/>
          <w:bCs w:val="0"/>
          <w:kern w:val="2"/>
          <w:sz w:val="32"/>
          <w:szCs w:val="32"/>
          <w:lang w:val="zh-CN" w:eastAsia="zh-CN" w:bidi="ar-SA"/>
        </w:rPr>
        <w:t>竞赛，统筹设置竞赛项目，</w:t>
      </w:r>
      <w:r>
        <w:rPr>
          <w:rFonts w:hint="eastAsia" w:ascii="仿宋_GB2312" w:hAnsi="仿宋_GB2312" w:eastAsia="仿宋_GB2312" w:cs="仿宋_GB2312"/>
          <w:b w:val="0"/>
          <w:bCs w:val="0"/>
          <w:kern w:val="2"/>
          <w:sz w:val="32"/>
          <w:szCs w:val="32"/>
          <w:lang w:val="en-US" w:eastAsia="zh-CN" w:bidi="ar-SA"/>
        </w:rPr>
        <w:t>竞赛项目名称需与国家职业标准相对应</w:t>
      </w:r>
      <w:r>
        <w:rPr>
          <w:rFonts w:hint="eastAsia" w:ascii="仿宋_GB2312" w:hAnsi="仿宋_GB2312" w:eastAsia="仿宋_GB2312" w:cs="仿宋_GB2312"/>
          <w:b w:val="0"/>
          <w:bCs w:val="0"/>
          <w:kern w:val="2"/>
          <w:sz w:val="32"/>
          <w:szCs w:val="32"/>
          <w:lang w:val="zh-CN" w:eastAsia="zh-CN" w:bidi="ar-SA"/>
        </w:rPr>
        <w:t>，</w:t>
      </w:r>
      <w:r>
        <w:rPr>
          <w:rFonts w:hint="eastAsia" w:ascii="仿宋_GB2312" w:hAnsi="仿宋_GB2312" w:eastAsia="仿宋_GB2312" w:cs="仿宋_GB2312"/>
          <w:b w:val="0"/>
          <w:bCs w:val="0"/>
          <w:kern w:val="2"/>
          <w:sz w:val="32"/>
          <w:szCs w:val="32"/>
          <w:lang w:val="en-US" w:eastAsia="zh-CN" w:bidi="ar-SA"/>
        </w:rPr>
        <w:t>其中：省级一类行业职业技能竞赛一般不超过5个职业（工种）</w:t>
      </w:r>
      <w:r>
        <w:rPr>
          <w:rFonts w:hint="eastAsia" w:ascii="仿宋_GB2312" w:hAnsi="仿宋_GB2312" w:eastAsia="仿宋_GB2312" w:cs="仿宋_GB2312"/>
          <w:sz w:val="32"/>
          <w:szCs w:val="32"/>
          <w:lang w:val="en-US" w:eastAsia="zh-CN"/>
        </w:rPr>
        <w:t>，二类职业技能竞赛一般不超过3个职业（工种）</w:t>
      </w:r>
      <w:r>
        <w:rPr>
          <w:rFonts w:hint="eastAsia" w:ascii="仿宋_GB2312" w:hAnsi="仿宋_GB2312" w:eastAsia="仿宋_GB2312" w:cs="仿宋_GB2312"/>
          <w:b w:val="0"/>
          <w:bCs w:val="0"/>
          <w:kern w:val="2"/>
          <w:sz w:val="32"/>
          <w:szCs w:val="32"/>
          <w:lang w:val="zh-CN" w:eastAsia="zh-CN" w:bidi="ar-SA"/>
        </w:rPr>
        <w:t>；市（</w:t>
      </w:r>
      <w:r>
        <w:rPr>
          <w:rFonts w:hint="eastAsia" w:ascii="仿宋_GB2312" w:hAnsi="仿宋_GB2312" w:eastAsia="仿宋_GB2312" w:cs="仿宋_GB2312"/>
          <w:b w:val="0"/>
          <w:bCs w:val="0"/>
          <w:kern w:val="2"/>
          <w:sz w:val="32"/>
          <w:szCs w:val="32"/>
          <w:lang w:val="en-US" w:eastAsia="zh-CN" w:bidi="ar-SA"/>
        </w:rPr>
        <w:t>州</w:t>
      </w:r>
      <w:r>
        <w:rPr>
          <w:rFonts w:hint="eastAsia" w:ascii="仿宋_GB2312" w:hAnsi="仿宋_GB2312" w:eastAsia="仿宋_GB2312" w:cs="仿宋_GB2312"/>
          <w:b w:val="0"/>
          <w:bCs w:val="0"/>
          <w:kern w:val="2"/>
          <w:sz w:val="32"/>
          <w:szCs w:val="32"/>
          <w:lang w:val="zh-CN" w:eastAsia="zh-CN" w:bidi="ar-SA"/>
        </w:rPr>
        <w:t>）、县（</w:t>
      </w:r>
      <w:r>
        <w:rPr>
          <w:rFonts w:hint="eastAsia" w:ascii="仿宋_GB2312" w:hAnsi="仿宋_GB2312" w:eastAsia="仿宋_GB2312" w:cs="仿宋_GB2312"/>
          <w:b w:val="0"/>
          <w:bCs w:val="0"/>
          <w:kern w:val="2"/>
          <w:sz w:val="32"/>
          <w:szCs w:val="32"/>
          <w:lang w:val="en-US" w:eastAsia="zh-CN" w:bidi="ar-SA"/>
        </w:rPr>
        <w:t>市、</w:t>
      </w:r>
      <w:r>
        <w:rPr>
          <w:rFonts w:hint="eastAsia" w:ascii="仿宋_GB2312" w:hAnsi="仿宋_GB2312" w:eastAsia="仿宋_GB2312" w:cs="仿宋_GB2312"/>
          <w:b w:val="0"/>
          <w:bCs w:val="0"/>
          <w:kern w:val="2"/>
          <w:sz w:val="32"/>
          <w:szCs w:val="32"/>
          <w:lang w:val="zh-CN" w:eastAsia="zh-CN" w:bidi="ar-SA"/>
        </w:rPr>
        <w:t>区）级竞赛应参照</w:t>
      </w:r>
      <w:r>
        <w:rPr>
          <w:rFonts w:hint="eastAsia" w:ascii="仿宋_GB2312" w:hAnsi="仿宋_GB2312" w:eastAsia="仿宋_GB2312" w:cs="仿宋_GB2312"/>
          <w:b w:val="0"/>
          <w:bCs w:val="0"/>
          <w:kern w:val="2"/>
          <w:sz w:val="32"/>
          <w:szCs w:val="32"/>
          <w:lang w:val="en-US" w:eastAsia="zh-CN" w:bidi="ar-SA"/>
        </w:rPr>
        <w:t>省级以上竞赛</w:t>
      </w:r>
      <w:r>
        <w:rPr>
          <w:rFonts w:hint="eastAsia" w:ascii="仿宋_GB2312" w:hAnsi="仿宋_GB2312" w:eastAsia="仿宋_GB2312" w:cs="仿宋_GB2312"/>
          <w:b w:val="0"/>
          <w:bCs w:val="0"/>
          <w:kern w:val="2"/>
          <w:sz w:val="32"/>
          <w:szCs w:val="32"/>
          <w:lang w:val="zh-CN" w:eastAsia="zh-CN" w:bidi="ar-SA"/>
        </w:rPr>
        <w:t>，结合地方支柱特色产业设置竞赛项目；企业和院校职业技能比赛应依托企业和院校发展重点职业（工种）进行设置。</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黑体" w:hAnsi="黑体" w:eastAsia="黑体" w:cs="黑体"/>
          <w:b w:val="0"/>
          <w:bCs w:val="0"/>
          <w:i w:val="0"/>
          <w:caps w:val="0"/>
          <w:color w:val="333333"/>
          <w:spacing w:val="0"/>
          <w:sz w:val="32"/>
          <w:szCs w:val="32"/>
          <w:shd w:val="clear" w:color="auto" w:fill="FFFFFF"/>
        </w:rPr>
        <w:t>第十</w:t>
      </w:r>
      <w:r>
        <w:rPr>
          <w:rFonts w:hint="eastAsia" w:ascii="黑体" w:hAnsi="黑体" w:eastAsia="黑体" w:cs="黑体"/>
          <w:b w:val="0"/>
          <w:bCs w:val="0"/>
          <w:i w:val="0"/>
          <w:caps w:val="0"/>
          <w:color w:val="333333"/>
          <w:spacing w:val="0"/>
          <w:sz w:val="32"/>
          <w:szCs w:val="32"/>
          <w:shd w:val="clear" w:color="auto" w:fill="FFFFFF"/>
          <w:lang w:val="en-US" w:eastAsia="zh-CN"/>
        </w:rPr>
        <w:t>五</w:t>
      </w:r>
      <w:r>
        <w:rPr>
          <w:rFonts w:hint="eastAsia" w:ascii="黑体" w:hAnsi="黑体" w:eastAsia="黑体" w:cs="黑体"/>
          <w:b w:val="0"/>
          <w:bCs w:val="0"/>
          <w:i w:val="0"/>
          <w:caps w:val="0"/>
          <w:color w:val="333333"/>
          <w:spacing w:val="0"/>
          <w:sz w:val="32"/>
          <w:szCs w:val="32"/>
          <w:shd w:val="clear" w:color="auto" w:fill="FFFFFF"/>
        </w:rPr>
        <w:t>条</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sz w:val="32"/>
          <w:szCs w:val="32"/>
          <w:lang w:val="zh-CN" w:eastAsia="zh-CN"/>
        </w:rPr>
        <w:t>各类职业技能竞赛原则上要按照世界技能大赛、</w:t>
      </w:r>
      <w:r>
        <w:rPr>
          <w:rFonts w:hint="eastAsia" w:ascii="仿宋_GB2312" w:hAnsi="仿宋_GB2312" w:eastAsia="仿宋_GB2312" w:cs="仿宋_GB2312"/>
          <w:sz w:val="32"/>
          <w:szCs w:val="32"/>
          <w:lang w:val="en-US" w:eastAsia="zh-CN"/>
        </w:rPr>
        <w:t>中华人民共和国职业技能大赛、全国行业职业技能竞赛</w:t>
      </w:r>
      <w:r>
        <w:rPr>
          <w:rFonts w:hint="eastAsia" w:ascii="仿宋_GB2312" w:hAnsi="仿宋_GB2312" w:eastAsia="仿宋_GB2312" w:cs="仿宋_GB2312"/>
          <w:sz w:val="32"/>
          <w:szCs w:val="32"/>
          <w:lang w:val="zh-CN" w:eastAsia="zh-CN"/>
        </w:rPr>
        <w:t>流程、标准举办，省级竞赛应结合国家职业标准三级（高级工）技能及以上要求组织实施；市（</w:t>
      </w:r>
      <w:r>
        <w:rPr>
          <w:rFonts w:hint="eastAsia" w:ascii="仿宋_GB2312" w:hAnsi="仿宋_GB2312" w:eastAsia="仿宋_GB2312" w:cs="仿宋_GB2312"/>
          <w:sz w:val="32"/>
          <w:szCs w:val="32"/>
          <w:lang w:val="en-US" w:eastAsia="zh-CN"/>
        </w:rPr>
        <w:t>州</w:t>
      </w:r>
      <w:r>
        <w:rPr>
          <w:rFonts w:hint="eastAsia" w:ascii="仿宋_GB2312" w:hAnsi="仿宋_GB2312" w:eastAsia="仿宋_GB2312" w:cs="仿宋_GB2312"/>
          <w:sz w:val="32"/>
          <w:szCs w:val="32"/>
          <w:lang w:val="zh-CN" w:eastAsia="zh-CN"/>
        </w:rPr>
        <w:t>）、县（</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zh-CN" w:eastAsia="zh-CN"/>
        </w:rPr>
        <w:t>区）级职业技能竞赛应结合国家职业标准四级（中级工）技能以上要求组织实施。</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i w:val="0"/>
          <w:caps w:val="0"/>
          <w:color w:val="333333"/>
          <w:spacing w:val="0"/>
          <w:sz w:val="32"/>
          <w:szCs w:val="32"/>
          <w:shd w:val="clear" w:color="auto" w:fill="FFFFFF"/>
        </w:rPr>
        <w:t>第十</w:t>
      </w:r>
      <w:r>
        <w:rPr>
          <w:rFonts w:hint="eastAsia" w:ascii="黑体" w:hAnsi="黑体" w:eastAsia="黑体" w:cs="黑体"/>
          <w:b w:val="0"/>
          <w:bCs w:val="0"/>
          <w:i w:val="0"/>
          <w:caps w:val="0"/>
          <w:color w:val="333333"/>
          <w:spacing w:val="0"/>
          <w:sz w:val="32"/>
          <w:szCs w:val="32"/>
          <w:shd w:val="clear" w:color="auto" w:fill="FFFFFF"/>
          <w:lang w:val="en-US" w:eastAsia="zh-CN"/>
        </w:rPr>
        <w:t>六</w:t>
      </w:r>
      <w:r>
        <w:rPr>
          <w:rFonts w:hint="eastAsia" w:ascii="黑体" w:hAnsi="黑体" w:eastAsia="黑体" w:cs="黑体"/>
          <w:b w:val="0"/>
          <w:bCs w:val="0"/>
          <w:i w:val="0"/>
          <w:caps w:val="0"/>
          <w:color w:val="333333"/>
          <w:spacing w:val="0"/>
          <w:sz w:val="32"/>
          <w:szCs w:val="32"/>
          <w:shd w:val="clear" w:color="auto" w:fill="FFFFFF"/>
        </w:rPr>
        <w:t xml:space="preserve">条 </w:t>
      </w:r>
      <w:r>
        <w:rPr>
          <w:rFonts w:hint="eastAsia" w:ascii="仿宋_GB2312" w:hAnsi="微软雅黑"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sz w:val="32"/>
          <w:szCs w:val="32"/>
          <w:lang w:val="en-US" w:eastAsia="zh-CN"/>
        </w:rPr>
        <w:t>参赛选手应当在我省工作、学习或居住满一年以上，年龄满16周岁以上、法定退休年龄以内，省级赛事</w:t>
      </w:r>
      <w:r>
        <w:rPr>
          <w:rFonts w:hint="eastAsia" w:ascii="仿宋_GB2312" w:hAnsi="仿宋_GB2312" w:eastAsia="仿宋_GB2312" w:cs="仿宋_GB2312"/>
          <w:sz w:val="32"/>
          <w:szCs w:val="32"/>
          <w:lang w:val="zh-CN" w:eastAsia="zh-CN"/>
        </w:rPr>
        <w:t>参赛选手一般通过选拔产生</w:t>
      </w:r>
      <w:r>
        <w:rPr>
          <w:rFonts w:hint="eastAsia" w:ascii="仿宋_GB2312" w:hAnsi="仿宋_GB2312" w:eastAsia="仿宋_GB2312" w:cs="仿宋_GB2312"/>
          <w:sz w:val="32"/>
          <w:szCs w:val="32"/>
          <w:lang w:val="en-US" w:eastAsia="zh-CN"/>
        </w:rPr>
        <w:t>。国家级竞赛省级选拔赛按照相应要求执行。</w:t>
      </w:r>
    </w:p>
    <w:p>
      <w:pPr>
        <w:pStyle w:val="13"/>
        <w:keepNext w:val="0"/>
        <w:keepLines w:val="0"/>
        <w:pageBreakBefore w:val="0"/>
        <w:widowControl/>
        <w:shd w:val="clear" w:color="auto" w:fill="FFFFFF"/>
        <w:kinsoku/>
        <w:wordWrap/>
        <w:overflowPunct/>
        <w:topLinePunct w:val="0"/>
        <w:autoSpaceDE/>
        <w:autoSpaceDN/>
        <w:bidi w:val="0"/>
        <w:adjustRightInd/>
        <w:snapToGrid w:val="0"/>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i w:val="0"/>
          <w:caps w:val="0"/>
          <w:color w:val="333333"/>
          <w:spacing w:val="0"/>
          <w:sz w:val="32"/>
          <w:szCs w:val="32"/>
          <w:shd w:val="clear" w:color="auto" w:fill="FFFFFF"/>
        </w:rPr>
        <w:t>第十</w:t>
      </w:r>
      <w:r>
        <w:rPr>
          <w:rFonts w:hint="eastAsia" w:ascii="黑体" w:hAnsi="黑体" w:eastAsia="黑体" w:cs="黑体"/>
          <w:b w:val="0"/>
          <w:bCs w:val="0"/>
          <w:i w:val="0"/>
          <w:caps w:val="0"/>
          <w:color w:val="333333"/>
          <w:spacing w:val="0"/>
          <w:sz w:val="32"/>
          <w:szCs w:val="32"/>
          <w:shd w:val="clear" w:color="auto" w:fill="FFFFFF"/>
          <w:lang w:val="en-US" w:eastAsia="zh-CN"/>
        </w:rPr>
        <w:t>七</w:t>
      </w:r>
      <w:r>
        <w:rPr>
          <w:rFonts w:hint="eastAsia" w:ascii="黑体" w:hAnsi="黑体" w:eastAsia="黑体" w:cs="黑体"/>
          <w:b w:val="0"/>
          <w:bCs w:val="0"/>
          <w:i w:val="0"/>
          <w:caps w:val="0"/>
          <w:color w:val="333333"/>
          <w:spacing w:val="0"/>
          <w:sz w:val="32"/>
          <w:szCs w:val="32"/>
          <w:shd w:val="clear" w:color="auto" w:fill="FFFFFF"/>
        </w:rPr>
        <w:t xml:space="preserve">条 </w:t>
      </w:r>
      <w:r>
        <w:rPr>
          <w:rFonts w:hint="eastAsia" w:ascii="黑体" w:hAnsi="黑体" w:eastAsia="黑体" w:cs="黑体"/>
          <w:b w:val="0"/>
          <w:bCs w:val="0"/>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kern w:val="2"/>
          <w:sz w:val="32"/>
          <w:szCs w:val="32"/>
          <w:lang w:val="en-US" w:eastAsia="zh-CN" w:bidi="ar-SA"/>
        </w:rPr>
        <w:t>竞赛实行主办单位负责制。联合举办的竞赛应明确主办单位、承办单位、协办单位。具备以下条件：</w:t>
      </w:r>
    </w:p>
    <w:p>
      <w:pPr>
        <w:pStyle w:val="13"/>
        <w:keepNext w:val="0"/>
        <w:keepLines w:val="0"/>
        <w:pageBreakBefore w:val="0"/>
        <w:widowControl/>
        <w:shd w:val="clear" w:color="auto" w:fill="FFFFFF"/>
        <w:kinsoku/>
        <w:wordWrap/>
        <w:overflowPunct/>
        <w:topLinePunct w:val="0"/>
        <w:autoSpaceDE/>
        <w:autoSpaceDN/>
        <w:bidi w:val="0"/>
        <w:adjustRightInd/>
        <w:snapToGrid w:val="0"/>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1.各级各类竞赛活动的举办单位应能够独立承担民事责任；</w:t>
      </w:r>
    </w:p>
    <w:p>
      <w:pPr>
        <w:pStyle w:val="13"/>
        <w:keepNext w:val="0"/>
        <w:keepLines w:val="0"/>
        <w:pageBreakBefore w:val="0"/>
        <w:widowControl/>
        <w:shd w:val="clear" w:color="auto" w:fill="FFFFFF"/>
        <w:kinsoku/>
        <w:wordWrap/>
        <w:overflowPunct/>
        <w:topLinePunct w:val="0"/>
        <w:autoSpaceDE/>
        <w:autoSpaceDN/>
        <w:bidi w:val="0"/>
        <w:adjustRightInd/>
        <w:snapToGrid w:val="0"/>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2.有与竞赛组织工作要求相适应的组织机构和管理人员；</w:t>
      </w:r>
    </w:p>
    <w:p>
      <w:pPr>
        <w:pStyle w:val="13"/>
        <w:keepNext w:val="0"/>
        <w:keepLines w:val="0"/>
        <w:pageBreakBefore w:val="0"/>
        <w:widowControl/>
        <w:shd w:val="clear" w:color="auto" w:fill="FFFFFF"/>
        <w:kinsoku/>
        <w:wordWrap/>
        <w:overflowPunct/>
        <w:topLinePunct w:val="0"/>
        <w:autoSpaceDE/>
        <w:autoSpaceDN/>
        <w:bidi w:val="0"/>
        <w:adjustRightInd/>
        <w:snapToGrid w:val="0"/>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3.有与竞赛水平相适应的专家队伍并能按要求完成相应的赛务工作；</w:t>
      </w:r>
    </w:p>
    <w:p>
      <w:pPr>
        <w:pStyle w:val="13"/>
        <w:keepNext w:val="0"/>
        <w:keepLines w:val="0"/>
        <w:pageBreakBefore w:val="0"/>
        <w:widowControl/>
        <w:shd w:val="clear" w:color="auto" w:fill="FFFFFF"/>
        <w:kinsoku/>
        <w:wordWrap/>
        <w:overflowPunct/>
        <w:topLinePunct w:val="0"/>
        <w:autoSpaceDE/>
        <w:autoSpaceDN/>
        <w:bidi w:val="0"/>
        <w:adjustRightInd/>
        <w:snapToGrid w:val="0"/>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4.有与竞赛规模相适应的经费支持，具备竞赛所需的场所、设施和器材，具有一定组织竞赛的经验。</w:t>
      </w:r>
    </w:p>
    <w:p>
      <w:pPr>
        <w:keepNext w:val="0"/>
        <w:keepLines w:val="0"/>
        <w:pageBreakBefore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eastAsia="黑体"/>
          <w:b w:val="0"/>
          <w:bCs w:val="0"/>
          <w:sz w:val="32"/>
          <w:szCs w:val="32"/>
        </w:rPr>
        <w:t>第</w:t>
      </w:r>
      <w:r>
        <w:rPr>
          <w:rFonts w:hint="eastAsia" w:eastAsia="黑体"/>
          <w:b w:val="0"/>
          <w:bCs w:val="0"/>
          <w:sz w:val="32"/>
          <w:szCs w:val="32"/>
        </w:rPr>
        <w:t>十</w:t>
      </w:r>
      <w:r>
        <w:rPr>
          <w:rFonts w:hint="eastAsia" w:eastAsia="黑体"/>
          <w:b w:val="0"/>
          <w:bCs w:val="0"/>
          <w:sz w:val="32"/>
          <w:szCs w:val="32"/>
          <w:lang w:val="en-US" w:eastAsia="zh-CN"/>
        </w:rPr>
        <w:t>八</w:t>
      </w:r>
      <w:r>
        <w:rPr>
          <w:rFonts w:eastAsia="黑体"/>
          <w:b w:val="0"/>
          <w:bCs w:val="0"/>
          <w:sz w:val="32"/>
          <w:szCs w:val="32"/>
        </w:rPr>
        <w:t>条</w:t>
      </w:r>
      <w:r>
        <w:rPr>
          <w:rFonts w:hint="eastAsia" w:eastAsia="黑体"/>
          <w:b w:val="0"/>
          <w:bCs w:val="0"/>
          <w:sz w:val="32"/>
          <w:szCs w:val="32"/>
          <w:lang w:val="en-US" w:eastAsia="zh-CN"/>
        </w:rPr>
        <w:t xml:space="preserve"> </w:t>
      </w:r>
      <w:r>
        <w:rPr>
          <w:rFonts w:hint="eastAsia" w:eastAsia="黑体"/>
          <w:b w:val="0"/>
          <w:bCs w:val="0"/>
          <w:sz w:val="32"/>
          <w:szCs w:val="32"/>
        </w:rPr>
        <w:t xml:space="preserve"> </w:t>
      </w:r>
      <w:r>
        <w:rPr>
          <w:rFonts w:hint="eastAsia" w:ascii="仿宋_GB2312" w:hAnsi="仿宋_GB2312" w:eastAsia="仿宋_GB2312" w:cs="仿宋_GB2312"/>
          <w:kern w:val="2"/>
          <w:sz w:val="32"/>
          <w:szCs w:val="32"/>
          <w:lang w:val="en-US" w:eastAsia="zh-CN" w:bidi="ar-SA"/>
        </w:rPr>
        <w:t>各级各类竞赛主办单位应成立赛事组委会，设立技术、保障、宣传、监督仲裁等各个工作组，组织开展好各项竞赛工作。建立竞赛档案，记录、收集、保存好登记表、花名册、成绩单等与竞赛相关的各项原始资料，竞赛结束后1个月内，将竞赛情况报送至同级人力资源社会保障厅（局）竞赛管理部门。</w:t>
      </w:r>
    </w:p>
    <w:p>
      <w:pPr>
        <w:keepNext w:val="0"/>
        <w:keepLines w:val="0"/>
        <w:pageBreakBefore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eastAsia="仿宋_GB2312"/>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各类职业技能竞赛应聘请具有中级职称（技师）及以上人员或本行业专家。各赛项裁判、专家、监督仲裁组以大赛制度为指导，严格遵守工作纪律，认真履行工作职责，确保竞赛公平公正、安全有序进行。</w:t>
      </w:r>
    </w:p>
    <w:p>
      <w:pPr>
        <w:keepNext w:val="0"/>
        <w:keepLines w:val="0"/>
        <w:pageBreakBefore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eastAsia="仿宋_GB2312"/>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竞赛主办单位、承办及协办单位要严守安全底线，将安全工作贯穿大赛筹办全过程，压实安全责任，落实各项安全措施，制定场馆搭建、安全检测、交通保障、食品卫生、安全保卫等方案预案，加强安全教育管理和培训，开展安全风险评估，组织安全检查和演练，确保赛事安全。</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val="zh-CN" w:eastAsia="zh-CN"/>
        </w:rPr>
        <w:t xml:space="preserve">章  </w:t>
      </w:r>
      <w:r>
        <w:rPr>
          <w:rFonts w:hint="eastAsia" w:ascii="黑体" w:hAnsi="黑体" w:eastAsia="黑体" w:cs="黑体"/>
          <w:b w:val="0"/>
          <w:bCs w:val="0"/>
          <w:sz w:val="32"/>
          <w:szCs w:val="32"/>
          <w:lang w:val="en-US" w:eastAsia="zh-CN"/>
        </w:rPr>
        <w:t>竞赛集训</w:t>
      </w:r>
    </w:p>
    <w:p>
      <w:pPr>
        <w:keepNext w:val="0"/>
        <w:keepLines w:val="0"/>
        <w:pageBreakBefore w:val="0"/>
        <w:kinsoku/>
        <w:wordWrap/>
        <w:overflowPunct/>
        <w:topLinePunct w:val="0"/>
        <w:autoSpaceDE/>
        <w:autoSpaceDN/>
        <w:bidi w:val="0"/>
        <w:snapToGrid w:val="0"/>
        <w:spacing w:beforeLines="0" w:afterLines="0" w:line="600" w:lineRule="exact"/>
        <w:textAlignment w:val="auto"/>
        <w:rPr>
          <w:rFonts w:hint="eastAsia" w:eastAsia="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val="en-US" w:eastAsia="zh-CN"/>
        </w:rPr>
        <w:t xml:space="preserve">第二十一条  </w:t>
      </w:r>
      <w:r>
        <w:rPr>
          <w:rFonts w:hint="eastAsia" w:ascii="仿宋_GB2312" w:hAnsi="仿宋_GB2312" w:eastAsia="仿宋_GB2312" w:cs="仿宋_GB2312"/>
          <w:kern w:val="2"/>
          <w:sz w:val="32"/>
          <w:szCs w:val="32"/>
          <w:lang w:val="en-US" w:eastAsia="zh-CN" w:bidi="ar-SA"/>
        </w:rPr>
        <w:t>建立健全竞赛集训制度，加强指导老师（教练）培养，注重选手梯队建设，科学组织集训工作。省人力资源社会保障厅主要负责世界技能大赛、中华人民共和国职业技能大赛贵州选手集训工作，按照竞赛周期组建集训队，主要依托世界技能大赛中国集训基地、省级竞赛集训基地和选手所在单位进行；省直相关部门按全国行业职业技能竞赛有关要求做好集训工作；各市（州）人力资源社会保障局按贵州省职业技能大赛有关要求做好集训工作。</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kern w:val="2"/>
          <w:sz w:val="32"/>
          <w:szCs w:val="32"/>
          <w:lang w:val="en-US" w:eastAsia="zh-CN" w:bidi="ar-SA"/>
        </w:rPr>
        <w:t>充分发挥竞赛集训基地辐射带动作用，支持申报世界技能大赛中国集训基地，根据参加省级以上赛事成绩，每2年培育建设一批省级竞赛集训基地，用于承担我省世界技能大赛、中华人民共和国职业技能大赛及国家级竞赛相关职业（工种）参赛选手的集训备赛工作，省级竞赛集训基地管理服务期为2年。鼓励各市（州）培育建设竞赛集训基地。</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级竞赛集训基地所在单位应具有规范的培训管理、财务管理等工作制度和科学有效的训练计划；具有能够满足竞赛职业（工种）组织与训练需要，符合国家建设和安全标准的训练场地、设施设备和工具耗材，具备突发事件应急处理能力和健全的后勤服务保障制度；具有能够对照世界技能大赛等国际赛事标准提供技术支持的专家团队。</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both"/>
        <w:textAlignment w:val="auto"/>
        <w:rPr>
          <w:rFonts w:hint="eastAsia" w:ascii="黑体" w:hAnsi="黑体" w:eastAsia="黑体" w:cs="黑体"/>
          <w:b w:val="0"/>
          <w:bCs w:val="0"/>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zh-CN" w:eastAsia="zh-CN" w:bidi="ar-SA"/>
        </w:rPr>
        <w:t>第</w:t>
      </w:r>
      <w:r>
        <w:rPr>
          <w:rFonts w:hint="eastAsia" w:ascii="黑体" w:hAnsi="黑体" w:eastAsia="黑体" w:cs="黑体"/>
          <w:b w:val="0"/>
          <w:bCs w:val="0"/>
          <w:kern w:val="2"/>
          <w:sz w:val="32"/>
          <w:szCs w:val="32"/>
          <w:lang w:val="en-US" w:eastAsia="zh-CN" w:bidi="ar-SA"/>
        </w:rPr>
        <w:t>六</w:t>
      </w:r>
      <w:r>
        <w:rPr>
          <w:rFonts w:hint="eastAsia" w:ascii="黑体" w:hAnsi="黑体" w:eastAsia="黑体" w:cs="黑体"/>
          <w:b w:val="0"/>
          <w:bCs w:val="0"/>
          <w:kern w:val="2"/>
          <w:sz w:val="32"/>
          <w:szCs w:val="32"/>
          <w:lang w:val="zh-CN" w:eastAsia="zh-CN" w:bidi="ar-SA"/>
        </w:rPr>
        <w:t xml:space="preserve">章  </w:t>
      </w:r>
      <w:r>
        <w:rPr>
          <w:rFonts w:hint="eastAsia" w:ascii="黑体" w:hAnsi="黑体" w:eastAsia="黑体" w:cs="黑体"/>
          <w:b w:val="0"/>
          <w:bCs w:val="0"/>
          <w:kern w:val="2"/>
          <w:sz w:val="32"/>
          <w:szCs w:val="32"/>
          <w:lang w:val="en-US" w:eastAsia="zh-CN" w:bidi="ar-SA"/>
        </w:rPr>
        <w:t>激励措施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firstLineChars="200"/>
        <w:textAlignment w:val="auto"/>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贵州省职业技能大赛设立金、银、铜牌和优胜奖，原则上设金牌、银牌、铜牌各1名，优胜奖若干名，获奖人数占比不超过决赛总人数的50%；贵州省行业职业技能竞赛、贵州省专项职业技能大赛各工种决赛人数在30人（含30人）以上的，原则上可按1:2:3的比例分设一、二、三等奖，获奖人数占比不超过决赛总人数的20%；参赛人数少的赛项其设奖比例可据实核减。市（州）、县(市、区)级竞赛参照省级竞赛设置奖励项目。企业和院校职业技能比赛结合自身实际设置。</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竞赛组委会应按照竞赛通知确定的办法和项目给予表扬奖励，为选手颁发获奖证书或参赛证书，为参与工作的专家教练、裁判、监督仲裁颁发聘书（证书）。根据竞赛成绩、组织工作及实际贡献情况，可对办赛、参赛工作中表现优秀的单位、工作人员予以表扬。</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val="en-US" w:eastAsia="zh-CN"/>
        </w:rPr>
        <w:t>二十六</w:t>
      </w:r>
      <w:r>
        <w:rPr>
          <w:rFonts w:hint="eastAsia" w:ascii="黑体" w:hAnsi="黑体" w:eastAsia="黑体" w:cs="黑体"/>
          <w:b w:val="0"/>
          <w:bCs w:val="0"/>
          <w:sz w:val="32"/>
          <w:szCs w:val="32"/>
          <w:u w:val="none"/>
        </w:rPr>
        <w:t>条</w:t>
      </w:r>
      <w:r>
        <w:rPr>
          <w:rFonts w:hint="eastAsia" w:hAnsi="仿宋_GB2312" w:cs="仿宋_GB2312"/>
          <w:b w:val="0"/>
          <w:bCs w:val="0"/>
          <w:sz w:val="32"/>
          <w:szCs w:val="32"/>
          <w:u w:val="none"/>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根据竞赛成绩，以下获奖选手明确为“贵州省技术能手”。</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1.获得世界技能大赛、中华人民共和国职业技能大赛优胜奖及以上选手，以及全国专项职业技能大赛和全国行业职业技能竞赛一类赛前6名、二类赛前3名</w:t>
      </w:r>
      <w:r>
        <w:rPr>
          <w:rFonts w:hint="eastAsia" w:hAnsi="仿宋_GB2312" w:cs="仿宋_GB2312"/>
          <w:kern w:val="2"/>
          <w:sz w:val="32"/>
          <w:szCs w:val="32"/>
          <w:lang w:val="en-US" w:eastAsia="zh-CN" w:bidi="ar-SA"/>
        </w:rPr>
        <w:t>的职工</w:t>
      </w:r>
      <w:r>
        <w:rPr>
          <w:rFonts w:hint="eastAsia" w:ascii="仿宋_GB2312" w:hAnsi="仿宋_GB2312" w:eastAsia="仿宋_GB2312" w:cs="仿宋_GB2312"/>
          <w:kern w:val="2"/>
          <w:sz w:val="32"/>
          <w:szCs w:val="32"/>
          <w:lang w:val="en-US" w:eastAsia="zh-CN" w:bidi="ar-SA"/>
        </w:rPr>
        <w:t>选手。</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hAnsi="仿宋_GB2312" w:cs="仿宋_GB2312"/>
          <w:kern w:val="2"/>
          <w:sz w:val="32"/>
          <w:szCs w:val="32"/>
          <w:lang w:val="en-US" w:eastAsia="zh-CN" w:bidi="ar-SA"/>
        </w:rPr>
        <w:t>获得</w:t>
      </w:r>
      <w:r>
        <w:rPr>
          <w:rFonts w:hint="eastAsia" w:ascii="仿宋_GB2312" w:hAnsi="仿宋_GB2312" w:eastAsia="仿宋_GB2312" w:cs="仿宋_GB2312"/>
          <w:kern w:val="2"/>
          <w:sz w:val="32"/>
          <w:szCs w:val="32"/>
          <w:lang w:val="en-US" w:eastAsia="zh-CN" w:bidi="ar-SA"/>
        </w:rPr>
        <w:t>贵州省职业技能大赛</w:t>
      </w:r>
      <w:r>
        <w:rPr>
          <w:rFonts w:hint="eastAsia" w:hAnsi="仿宋_GB2312" w:cs="仿宋_GB2312"/>
          <w:kern w:val="2"/>
          <w:sz w:val="32"/>
          <w:szCs w:val="32"/>
          <w:lang w:val="en-US" w:eastAsia="zh-CN" w:bidi="ar-SA"/>
        </w:rPr>
        <w:t>金、银、铜牌的职工选手，以及</w:t>
      </w:r>
      <w:r>
        <w:rPr>
          <w:rFonts w:hint="eastAsia" w:ascii="仿宋_GB2312" w:hAnsi="仿宋_GB2312" w:eastAsia="仿宋_GB2312" w:cs="仿宋_GB2312"/>
          <w:kern w:val="2"/>
          <w:sz w:val="32"/>
          <w:szCs w:val="32"/>
          <w:lang w:val="en-US" w:eastAsia="zh-CN" w:bidi="ar-SA"/>
        </w:rPr>
        <w:t>贵州省行业职业技能竞赛（一类赛）和贵州省专项职业技能大赛第1名的职工选手。</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val="en-US" w:eastAsia="zh-CN"/>
        </w:rPr>
        <w:t>二十七</w:t>
      </w:r>
      <w:r>
        <w:rPr>
          <w:rFonts w:hint="eastAsia" w:ascii="黑体" w:hAnsi="黑体" w:eastAsia="黑体" w:cs="黑体"/>
          <w:b w:val="0"/>
          <w:bCs w:val="0"/>
          <w:sz w:val="32"/>
          <w:szCs w:val="32"/>
          <w:u w:val="none"/>
        </w:rPr>
        <w:t>条</w:t>
      </w:r>
      <w:r>
        <w:rPr>
          <w:rFonts w:hint="eastAsia" w:hAnsi="仿宋_GB2312" w:cs="仿宋_GB2312"/>
          <w:b w:val="0"/>
          <w:bCs w:val="0"/>
          <w:sz w:val="32"/>
          <w:szCs w:val="32"/>
          <w:u w:val="non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kern w:val="2"/>
          <w:sz w:val="32"/>
          <w:szCs w:val="32"/>
          <w:lang w:val="en-US" w:eastAsia="zh-CN" w:bidi="ar-SA"/>
        </w:rPr>
        <w:t>竞赛主办单位可会同省直相关部门，依据管理规定，为获奖选手申报其他称号。市（州）、县（市、区）级“技术能手”参照办法，由各市（州）、县（市、区）结合自身实际确定。</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val="en-US" w:eastAsia="zh-CN"/>
        </w:rPr>
        <w:t>二十八</w:t>
      </w:r>
      <w:r>
        <w:rPr>
          <w:rFonts w:hint="eastAsia" w:ascii="黑体" w:hAnsi="黑体" w:eastAsia="黑体" w:cs="黑体"/>
          <w:b w:val="0"/>
          <w:bCs w:val="0"/>
          <w:sz w:val="32"/>
          <w:szCs w:val="32"/>
          <w:u w:val="none"/>
        </w:rPr>
        <w:t>条</w:t>
      </w:r>
      <w:r>
        <w:rPr>
          <w:rFonts w:hint="eastAsia" w:ascii="黑体" w:hAnsi="黑体" w:eastAsia="黑体" w:cs="黑体"/>
          <w:b w:val="0"/>
          <w:bCs w:val="0"/>
          <w:sz w:val="32"/>
          <w:szCs w:val="32"/>
          <w:u w:val="none"/>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按照“谁主办、谁负责”和“属地管理、分级负责”的原则，省级以上竞赛由贵州省职业技能竞赛办公室（贵州省职业技能鉴定考评指导中心代章）为决赛阶段选手颁发相应职业技能等级证书。市（州）、县(市、区)级竞赛职业技能竞赛选手取证,由市（州）人力资源社会保障局参照省级竞赛取证方式并结合本地实际研究解决。</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第二十九条</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竞赛项目与职业资格目录内职业（工种）或与备案的职业技能等级评价机构实施的职业（工种）对应的，给予符合条件的参赛选手，颁发国家职业资格证书或职业技能等级证书。竞赛项目涉及的职业（工种）不在职业资格目录或职业技能等级评价机构实施的职业（工种）范围内的，给予符合条件的参赛选手，颁发相关国家职业资格证书或职业技能等级证书。对指导选手参加世界技能大赛、中华人民共和国职业技能大赛获得优胜奖以上的专家教练团队，颁发国家职业资格证书或职业技能等级证书。</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贵州省职业技能大赛金、银、铜牌选手可直接晋升技师及以上职业资格或职业技能等级，优胜奖选手可直接晋升高级工（三级）职业资格或职业技能等级，已具有高级工（三级）以上职业资格或职业技能等级的，可核发技师、高级技师国家职业资格证书或职业技能等级证书。专业技术类竞赛项目，可按规定晋升相应专业技术职称。</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贵州省行业职业技能竞赛、贵州省专项职业技能大赛各工种决赛三等奖以上选手，可核发命题层级高一等级国家职业资格证书或职业技能等级证书。其余参赛选手合格者，颁发与命题层级相一致的国家职业资格证书或职业技能等级证书。市（州）和县(市、区)级竞赛最高可颁发高级工（三级）国家职业资格证书或职业技能等级证书。</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（三）参加省级及以下竞赛，获奖选手为在校学生的，最高颁发高级工（三级）国家职业资格证书或职业技能等级证书。</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（四）参加国家级竞赛的获奖选手，按有关竞赛文件规定颁发职业资格证书或职业技能等级证书。</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同一年度，同一赛事优胜选手原则上不得连续晋升职业技能等级（职业资格），不重复颁发同一等级职业技能等级（职业资格）证书。省级竞赛决赛优胜选手晋升职业技能等级（职业资格）以参加省级以下选拔赛前的职业技能等级（职业资格）为基础。</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（六）对在国内国际具有广泛影响的大赛上获得前三名的选手，在获奖年度内，采取“一事一议”方式，给予相应表扬奖励，颁发相应职业资格证书或职业技能等级证书。</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对指导选手参加世界技能大赛、中华人民共和国职业技能大赛中获得金、银、铜牌的专家教练组长，可晋升高级技师职业资格或职业技能等级。对专家教练团队成员，可晋升技师职业资格或职业技能等级；已取得技师职业资格或职业技能等级的，可晋升到高级技师职业资格或职业技能等级。对指导选手参加世界技能大赛、中华人民共和国职业技能大赛中获得优胜奖的专家教练组长，可晋升技师职业资格或职业技能等级；已取得技师职业资格或职业技能等级的，可晋升到高级技师职业资格或职业技能等级。对专家教练团队成员，可晋升高级工（三级）以上职业资格或职业技能等级；已取得高级工（三级）以上职业资格或职业技能等级，可晋升到技师职业资格或职业技能等级。</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Ansi="黑体" w:eastAsia="黑体"/>
          <w:b w:val="0"/>
          <w:bCs w:val="0"/>
          <w:sz w:val="32"/>
          <w:szCs w:val="32"/>
        </w:rPr>
        <w:t>第</w:t>
      </w:r>
      <w:r>
        <w:rPr>
          <w:rFonts w:hint="eastAsia" w:hAnsi="黑体" w:eastAsia="黑体"/>
          <w:b w:val="0"/>
          <w:bCs w:val="0"/>
          <w:sz w:val="32"/>
          <w:szCs w:val="32"/>
          <w:lang w:val="en-US" w:eastAsia="zh-CN"/>
        </w:rPr>
        <w:t>三十</w:t>
      </w:r>
      <w:r>
        <w:rPr>
          <w:rFonts w:hAnsi="黑体" w:eastAsia="黑体"/>
          <w:b w:val="0"/>
          <w:bCs w:val="0"/>
          <w:sz w:val="32"/>
          <w:szCs w:val="32"/>
        </w:rPr>
        <w:t>条</w:t>
      </w:r>
      <w:r>
        <w:rPr>
          <w:rFonts w:hint="eastAsia" w:hAnsi="黑体" w:eastAsia="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对参加世界级、国家级的本省获奖选手、相关人员及单位给予奖励补助：</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（一）对获得世界技能大赛金牌、银牌、铜牌以及优胜奖选手，分别给予每名选手20万元、10万元、5万元、2万元奖励；分别给予其专家教练团队同等标准奖励。</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（二）对获得中华人民共和国职业技能大赛金牌、银牌、铜牌以及优胜奖选手，分别给予每名选手8万元、5万元、3万元、1万元奖励；分别给予其专家教练团队同等标准奖励。</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对获得全国行业职业技能竞赛（一类）获得赛项一、二、三等奖的选手，分别给予每名选手2万元、1万元、0.5万元奖励；对获得全国行业职业技能竞赛（二类）一等奖选手给予每名选手1万元奖励。全国专项职业技能大赛参照全国行业职业技能竞赛（一类）给予奖励。</w:t>
      </w:r>
    </w:p>
    <w:p>
      <w:pPr>
        <w:pStyle w:val="2"/>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第三十一条</w:t>
      </w:r>
      <w:r>
        <w:rPr>
          <w:rFonts w:hint="eastAsia" w:hAnsi="仿宋_GB2312" w:cs="仿宋_GB2312"/>
          <w:b w:val="0"/>
          <w:bCs w:val="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支持全国性职业技能大赛以上获奖选手所在单位优先申报国家级高技能人才培训基地以及世界技能大赛中国集训基地，培育建设省级职业技能竞赛集训基地。国家级高技能人才培训基地按有关规定进行补助</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对每届世界技能大赛中国集训基地</w:t>
      </w:r>
      <w:r>
        <w:rPr>
          <w:rFonts w:hint="eastAsia" w:hAnsi="仿宋_GB2312" w:cs="仿宋_GB2312"/>
          <w:kern w:val="2"/>
          <w:sz w:val="32"/>
          <w:szCs w:val="32"/>
          <w:lang w:val="en-US" w:eastAsia="zh-CN" w:bidi="ar-SA"/>
        </w:rPr>
        <w:t>按</w:t>
      </w:r>
      <w:r>
        <w:rPr>
          <w:rFonts w:hint="eastAsia" w:ascii="仿宋_GB2312" w:hAnsi="仿宋_GB2312" w:eastAsia="仿宋_GB2312" w:cs="仿宋_GB2312"/>
          <w:kern w:val="2"/>
          <w:sz w:val="32"/>
          <w:szCs w:val="32"/>
          <w:lang w:val="en-US" w:eastAsia="zh-CN" w:bidi="ar-SA"/>
        </w:rPr>
        <w:t>不超过50万</w:t>
      </w:r>
      <w:r>
        <w:rPr>
          <w:rFonts w:hint="eastAsia" w:hAnsi="仿宋_GB2312" w:cs="仿宋_GB2312"/>
          <w:kern w:val="2"/>
          <w:sz w:val="32"/>
          <w:szCs w:val="32"/>
          <w:lang w:val="en-US" w:eastAsia="zh-CN" w:bidi="ar-SA"/>
        </w:rPr>
        <w:t>元</w:t>
      </w:r>
      <w:r>
        <w:rPr>
          <w:rFonts w:hint="eastAsia" w:ascii="仿宋_GB2312" w:hAnsi="仿宋_GB2312" w:eastAsia="仿宋_GB2312" w:cs="仿宋_GB2312"/>
          <w:kern w:val="2"/>
          <w:sz w:val="32"/>
          <w:szCs w:val="32"/>
          <w:lang w:val="en-US" w:eastAsia="zh-CN" w:bidi="ar-SA"/>
        </w:rPr>
        <w:t>进行补助</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对每届省级职业技能竞赛集训基地</w:t>
      </w:r>
      <w:r>
        <w:rPr>
          <w:rFonts w:hint="eastAsia" w:hAnsi="仿宋_GB2312" w:cs="仿宋_GB2312"/>
          <w:kern w:val="2"/>
          <w:sz w:val="32"/>
          <w:szCs w:val="32"/>
          <w:lang w:val="en-US" w:eastAsia="zh-CN" w:bidi="ar-SA"/>
        </w:rPr>
        <w:t>按</w:t>
      </w:r>
      <w:r>
        <w:rPr>
          <w:rFonts w:hint="eastAsia" w:ascii="仿宋_GB2312" w:hAnsi="仿宋_GB2312" w:eastAsia="仿宋_GB2312" w:cs="仿宋_GB2312"/>
          <w:kern w:val="2"/>
          <w:sz w:val="32"/>
          <w:szCs w:val="32"/>
          <w:lang w:val="en-US" w:eastAsia="zh-CN" w:bidi="ar-SA"/>
        </w:rPr>
        <w:t>不超过</w:t>
      </w:r>
      <w:r>
        <w:rPr>
          <w:rFonts w:hint="eastAsia"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0万元进行补助。</w:t>
      </w:r>
    </w:p>
    <w:p>
      <w:pPr>
        <w:pStyle w:val="2"/>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i w:val="0"/>
          <w:caps w:val="0"/>
          <w:color w:val="333333"/>
          <w:spacing w:val="0"/>
          <w:sz w:val="32"/>
          <w:szCs w:val="32"/>
          <w:shd w:val="clear" w:color="auto" w:fill="FFFFFF"/>
          <w:lang w:val="en-US" w:eastAsia="zh-CN"/>
        </w:rPr>
        <w:t xml:space="preserve">第三十二条  </w:t>
      </w:r>
      <w:r>
        <w:rPr>
          <w:rFonts w:hint="eastAsia" w:ascii="仿宋_GB2312" w:hAnsi="仿宋_GB2312" w:eastAsia="仿宋_GB2312" w:cs="仿宋_GB2312"/>
          <w:kern w:val="2"/>
          <w:sz w:val="32"/>
          <w:szCs w:val="32"/>
          <w:lang w:val="en-US" w:eastAsia="zh-CN" w:bidi="ar-SA"/>
        </w:rPr>
        <w:t>对于参加高技能人才评选表彰获得中华技能大奖称号的，给予</w:t>
      </w:r>
      <w:r>
        <w:rPr>
          <w:rFonts w:hint="eastAsia"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0万元奖励。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60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i w:val="0"/>
          <w:caps w:val="0"/>
          <w:color w:val="333333"/>
          <w:spacing w:val="0"/>
          <w:sz w:val="32"/>
          <w:szCs w:val="32"/>
          <w:shd w:val="clear" w:color="auto" w:fill="FFFFFF"/>
          <w:lang w:val="en-US" w:eastAsia="zh-CN"/>
        </w:rPr>
        <w:t xml:space="preserve">第三十三条  </w:t>
      </w:r>
      <w:r>
        <w:rPr>
          <w:rFonts w:hint="eastAsia" w:ascii="仿宋_GB2312" w:hAnsi="仿宋_GB2312" w:eastAsia="仿宋_GB2312" w:cs="仿宋_GB2312"/>
          <w:kern w:val="2"/>
          <w:sz w:val="32"/>
          <w:szCs w:val="32"/>
          <w:lang w:val="en-US" w:eastAsia="zh-CN" w:bidi="ar-SA"/>
        </w:rPr>
        <w:t>对参与国家级及以上大赛的职工选手或专家教练以及人力资源社会保障部聘任的世界技能大赛、中华人民共和国职业技能大赛专家及教练，优先推荐晋升专业技术职务或职业技能等级，优先推荐参评中华技能大奖、政府特殊津贴、高层次人才培养、国家级和省级技能大师工作室领办人，按照相关规定申报发放人才绿卡。在岗位聘任、职称评审等时，同等条件下予以优先考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60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i w:val="0"/>
          <w:caps w:val="0"/>
          <w:color w:val="333333"/>
          <w:spacing w:val="0"/>
          <w:sz w:val="32"/>
          <w:szCs w:val="32"/>
          <w:shd w:val="clear" w:color="auto" w:fill="FFFFFF"/>
          <w:lang w:val="en-US" w:eastAsia="zh-CN"/>
        </w:rPr>
        <w:t xml:space="preserve">第三十四条  </w:t>
      </w:r>
      <w:r>
        <w:rPr>
          <w:rFonts w:hint="eastAsia" w:ascii="仿宋_GB2312" w:hAnsi="仿宋_GB2312" w:eastAsia="仿宋_GB2312" w:cs="仿宋_GB2312"/>
          <w:kern w:val="2"/>
          <w:sz w:val="32"/>
          <w:szCs w:val="32"/>
          <w:lang w:val="en-US" w:eastAsia="zh-CN" w:bidi="ar-SA"/>
        </w:rPr>
        <w:t>鼓励各地、各单位完善竞赛激励政策，建立和完善参与竞赛工作的教练、专家、选手、专职工作人员等人才专业化培养和发展机制，对竞赛获奖选手以及在选手培养、竞赛组织实施中作出突出贡献的单位和个人，按照规定给予表扬奖励。</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both"/>
        <w:textAlignment w:val="auto"/>
        <w:rPr>
          <w:rFonts w:hint="default" w:ascii="黑体" w:hAnsi="黑体" w:eastAsia="黑体" w:cs="黑体"/>
          <w:b w:val="0"/>
          <w:bCs w:val="0"/>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center"/>
        <w:textAlignment w:val="auto"/>
        <w:rPr>
          <w:rFonts w:hint="default" w:eastAsia="黑体"/>
          <w:b w:val="0"/>
          <w:bCs w:val="0"/>
          <w:sz w:val="32"/>
          <w:szCs w:val="32"/>
          <w:lang w:val="en-US" w:eastAsia="zh-CN"/>
        </w:rPr>
      </w:pPr>
      <w:r>
        <w:rPr>
          <w:rFonts w:hint="eastAsia" w:eastAsia="黑体"/>
          <w:b w:val="0"/>
          <w:bCs w:val="0"/>
          <w:sz w:val="32"/>
          <w:szCs w:val="32"/>
        </w:rPr>
        <w:t>第</w:t>
      </w:r>
      <w:r>
        <w:rPr>
          <w:rFonts w:hint="eastAsia" w:eastAsia="黑体"/>
          <w:b w:val="0"/>
          <w:bCs w:val="0"/>
          <w:sz w:val="32"/>
          <w:szCs w:val="32"/>
          <w:lang w:eastAsia="zh-CN"/>
        </w:rPr>
        <w:t>七</w:t>
      </w:r>
      <w:r>
        <w:rPr>
          <w:rFonts w:hint="eastAsia" w:eastAsia="黑体"/>
          <w:b w:val="0"/>
          <w:bCs w:val="0"/>
          <w:sz w:val="32"/>
          <w:szCs w:val="32"/>
        </w:rPr>
        <w:t xml:space="preserve">章  </w:t>
      </w:r>
      <w:r>
        <w:rPr>
          <w:rFonts w:hint="eastAsia" w:eastAsia="黑体"/>
          <w:b w:val="0"/>
          <w:bCs w:val="0"/>
          <w:sz w:val="32"/>
          <w:szCs w:val="32"/>
          <w:lang w:val="en-US" w:eastAsia="zh-CN"/>
        </w:rPr>
        <w:t>经费保障</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eastAsia="黑体"/>
          <w:b w:val="0"/>
          <w:bCs w:val="0"/>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b w:val="0"/>
          <w:bCs w:val="0"/>
          <w:sz w:val="32"/>
          <w:szCs w:val="32"/>
        </w:rPr>
        <w:t>第三十</w:t>
      </w:r>
      <w:r>
        <w:rPr>
          <w:rFonts w:hint="eastAsia" w:eastAsia="黑体"/>
          <w:b w:val="0"/>
          <w:bCs w:val="0"/>
          <w:sz w:val="32"/>
          <w:szCs w:val="32"/>
          <w:lang w:val="en-US" w:eastAsia="zh-CN"/>
        </w:rPr>
        <w:t>五</w:t>
      </w:r>
      <w:r>
        <w:rPr>
          <w:rFonts w:hint="eastAsia" w:eastAsia="黑体"/>
          <w:b w:val="0"/>
          <w:bCs w:val="0"/>
          <w:sz w:val="32"/>
          <w:szCs w:val="32"/>
        </w:rPr>
        <w:t>条</w:t>
      </w:r>
      <w:r>
        <w:rPr>
          <w:rFonts w:hint="eastAsia" w:eastAsia="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竞赛活动经费可从以下途径筹措：</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（一）财政资金；</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（二）主办、承办及协办等单位共同出资；</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（三）接受社会赞助。</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Lines="0" w:beforeAutospacing="0" w:afterLines="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eastAsia="黑体"/>
          <w:b w:val="0"/>
          <w:bCs w:val="0"/>
          <w:sz w:val="32"/>
          <w:szCs w:val="32"/>
        </w:rPr>
        <w:t>第三十</w:t>
      </w:r>
      <w:r>
        <w:rPr>
          <w:rFonts w:hint="eastAsia" w:eastAsia="黑体"/>
          <w:b w:val="0"/>
          <w:bCs w:val="0"/>
          <w:sz w:val="32"/>
          <w:szCs w:val="32"/>
          <w:lang w:val="en-US" w:eastAsia="zh-CN"/>
        </w:rPr>
        <w:t>六</w:t>
      </w:r>
      <w:r>
        <w:rPr>
          <w:rFonts w:hint="eastAsia" w:eastAsia="黑体"/>
          <w:b w:val="0"/>
          <w:bCs w:val="0"/>
          <w:sz w:val="32"/>
          <w:szCs w:val="32"/>
        </w:rPr>
        <w:t>条</w:t>
      </w:r>
      <w:r>
        <w:rPr>
          <w:rFonts w:hint="eastAsia" w:eastAsia="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地承办的重要赛事，可根据实际向当地财政部门申请相关工作经费，规范资金的有效使用，接受有关部门的审计。各级各类职业技能竞赛不得向选手、参赛单位收取参赛费用，不得借竞赛之名从事相关营利活动。</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eastAsia="黑体"/>
          <w:b w:val="0"/>
          <w:bCs w:val="0"/>
          <w:color w:val="auto"/>
          <w:sz w:val="32"/>
          <w:szCs w:val="32"/>
        </w:rPr>
        <w:t>第三十</w:t>
      </w:r>
      <w:r>
        <w:rPr>
          <w:rFonts w:hint="eastAsia" w:eastAsia="黑体"/>
          <w:b w:val="0"/>
          <w:bCs w:val="0"/>
          <w:color w:val="auto"/>
          <w:sz w:val="32"/>
          <w:szCs w:val="32"/>
          <w:lang w:val="en-US" w:eastAsia="zh-CN"/>
        </w:rPr>
        <w:t>七</w:t>
      </w:r>
      <w:r>
        <w:rPr>
          <w:rFonts w:hint="eastAsia" w:eastAsia="黑体"/>
          <w:b w:val="0"/>
          <w:bCs w:val="0"/>
          <w:color w:val="auto"/>
          <w:sz w:val="32"/>
          <w:szCs w:val="32"/>
        </w:rPr>
        <w:t>条</w:t>
      </w:r>
      <w:r>
        <w:rPr>
          <w:rFonts w:hint="eastAsia" w:eastAsia="黑体"/>
          <w:b w:val="0"/>
          <w:bCs w:val="0"/>
          <w:color w:val="auto"/>
          <w:sz w:val="32"/>
          <w:szCs w:val="32"/>
          <w:lang w:val="en-US" w:eastAsia="zh-CN"/>
        </w:rPr>
        <w:t xml:space="preserve"> </w:t>
      </w:r>
      <w:r>
        <w:rPr>
          <w:rFonts w:hint="eastAsia"/>
          <w:b w:val="0"/>
          <w:bCs w:val="0"/>
          <w:sz w:val="32"/>
          <w:szCs w:val="32"/>
        </w:rPr>
        <w:t xml:space="preserve"> </w:t>
      </w:r>
      <w:r>
        <w:rPr>
          <w:rFonts w:hint="eastAsia" w:ascii="仿宋_GB2312" w:hAnsi="仿宋_GB2312" w:eastAsia="仿宋_GB2312" w:cs="仿宋_GB2312"/>
          <w:kern w:val="2"/>
          <w:sz w:val="32"/>
          <w:szCs w:val="32"/>
          <w:lang w:val="en-US" w:eastAsia="zh-CN" w:bidi="ar-SA"/>
        </w:rPr>
        <w:t>各级各类竞赛相关经费主要用于购置竞赛耗材及器具、聘请技术专家、场地和设备租赁、赛场布置、宣传、举办开闭幕式、技能等级（职业资格）证书办理、为参赛选手提供必要的后勤保障等。组织参加职业技能竞赛活动产生的费用，主要包括训练保障、技术交流、专家劳务、食宿交通、参赛配备等。</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napToGrid w:val="0"/>
          <w:kern w:val="0"/>
          <w:sz w:val="32"/>
          <w:szCs w:val="32"/>
          <w:highlight w:val="none"/>
          <w:lang w:val="en-US" w:eastAsia="zh-CN"/>
        </w:rPr>
        <w:t xml:space="preserve">第三十八条  </w:t>
      </w:r>
      <w:r>
        <w:rPr>
          <w:rFonts w:hint="eastAsia" w:ascii="仿宋_GB2312" w:hAnsi="仿宋_GB2312" w:eastAsia="仿宋_GB2312" w:cs="仿宋_GB2312"/>
          <w:kern w:val="2"/>
          <w:sz w:val="32"/>
          <w:szCs w:val="32"/>
          <w:lang w:val="en-US" w:eastAsia="zh-CN" w:bidi="ar-SA"/>
        </w:rPr>
        <w:t>竞赛承办单位和竞赛集训基地要加强经费管理，对竞赛补助经费应设立明细账，专款专用单独核算，并接受相关部门的监督检查。</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snapToGrid w:val="0"/>
        <w:spacing w:beforeLines="0" w:afterLines="0" w:line="600" w:lineRule="exact"/>
        <w:jc w:val="center"/>
        <w:textAlignment w:val="auto"/>
        <w:rPr>
          <w:rFonts w:hint="default" w:eastAsia="黑体"/>
          <w:b w:val="0"/>
          <w:bCs w:val="0"/>
          <w:sz w:val="32"/>
          <w:szCs w:val="32"/>
          <w:lang w:val="en-US" w:eastAsia="zh-CN"/>
        </w:rPr>
      </w:pPr>
      <w:r>
        <w:rPr>
          <w:rFonts w:hint="eastAsia" w:eastAsia="黑体"/>
          <w:b w:val="0"/>
          <w:bCs w:val="0"/>
          <w:sz w:val="32"/>
          <w:szCs w:val="32"/>
        </w:rPr>
        <w:t>第</w:t>
      </w:r>
      <w:r>
        <w:rPr>
          <w:rFonts w:hint="eastAsia" w:eastAsia="黑体"/>
          <w:b w:val="0"/>
          <w:bCs w:val="0"/>
          <w:sz w:val="32"/>
          <w:szCs w:val="32"/>
          <w:lang w:eastAsia="zh-CN"/>
        </w:rPr>
        <w:t>八</w:t>
      </w:r>
      <w:r>
        <w:rPr>
          <w:rFonts w:hint="eastAsia" w:eastAsia="黑体"/>
          <w:b w:val="0"/>
          <w:bCs w:val="0"/>
          <w:sz w:val="32"/>
          <w:szCs w:val="32"/>
        </w:rPr>
        <w:t xml:space="preserve">章  </w:t>
      </w:r>
      <w:r>
        <w:rPr>
          <w:rFonts w:hint="eastAsia" w:eastAsia="黑体"/>
          <w:b w:val="0"/>
          <w:bCs w:val="0"/>
          <w:sz w:val="32"/>
          <w:szCs w:val="32"/>
          <w:lang w:val="en-US" w:eastAsia="zh-CN"/>
        </w:rPr>
        <w:t>监督管理</w:t>
      </w:r>
    </w:p>
    <w:p>
      <w:pPr>
        <w:keepNext w:val="0"/>
        <w:keepLines w:val="0"/>
        <w:pageBreakBefore w:val="0"/>
        <w:kinsoku/>
        <w:wordWrap/>
        <w:overflowPunct/>
        <w:topLinePunct w:val="0"/>
        <w:autoSpaceDE/>
        <w:autoSpaceDN/>
        <w:bidi w:val="0"/>
        <w:snapToGrid w:val="0"/>
        <w:spacing w:beforeLines="0" w:afterLines="0" w:line="600" w:lineRule="exact"/>
        <w:ind w:firstLine="640" w:firstLineChars="200"/>
        <w:jc w:val="both"/>
        <w:textAlignment w:val="auto"/>
        <w:rPr>
          <w:rFonts w:hint="eastAsia" w:eastAsia="黑体"/>
          <w:b w:val="0"/>
          <w:bCs w:val="0"/>
          <w:sz w:val="32"/>
          <w:szCs w:val="32"/>
        </w:rPr>
      </w:pPr>
    </w:p>
    <w:p>
      <w:pPr>
        <w:keepNext w:val="0"/>
        <w:keepLines w:val="0"/>
        <w:pageBreakBefore w:val="0"/>
        <w:kinsoku/>
        <w:wordWrap/>
        <w:overflowPunct/>
        <w:topLinePunct w:val="0"/>
        <w:autoSpaceDE/>
        <w:autoSpaceDN/>
        <w:bidi w:val="0"/>
        <w:snapToGrid w:val="0"/>
        <w:spacing w:beforeLines="0" w:afterLines="0" w:line="600" w:lineRule="exact"/>
        <w:ind w:firstLine="630"/>
        <w:textAlignment w:val="auto"/>
        <w:rPr>
          <w:rFonts w:hint="eastAsia" w:ascii="仿宋_GB2312" w:hAnsi="仿宋_GB2312" w:eastAsia="仿宋_GB2312" w:cs="仿宋_GB2312"/>
          <w:kern w:val="2"/>
          <w:sz w:val="32"/>
          <w:szCs w:val="32"/>
          <w:lang w:val="en-US" w:eastAsia="zh-CN" w:bidi="ar-SA"/>
        </w:rPr>
      </w:pPr>
      <w:r>
        <w:rPr>
          <w:rFonts w:hint="eastAsia" w:eastAsia="黑体"/>
          <w:b w:val="0"/>
          <w:bCs w:val="0"/>
          <w:sz w:val="32"/>
          <w:szCs w:val="32"/>
        </w:rPr>
        <w:t>第</w:t>
      </w:r>
      <w:r>
        <w:rPr>
          <w:rFonts w:hint="eastAsia" w:eastAsia="黑体"/>
          <w:b w:val="0"/>
          <w:bCs w:val="0"/>
          <w:sz w:val="32"/>
          <w:szCs w:val="32"/>
          <w:lang w:val="en-US" w:eastAsia="zh-CN"/>
        </w:rPr>
        <w:t>三十九</w:t>
      </w:r>
      <w:r>
        <w:rPr>
          <w:rFonts w:hint="eastAsia" w:eastAsia="黑体"/>
          <w:b w:val="0"/>
          <w:bCs w:val="0"/>
          <w:sz w:val="32"/>
          <w:szCs w:val="32"/>
        </w:rPr>
        <w:t>条</w:t>
      </w:r>
      <w:r>
        <w:rPr>
          <w:rFonts w:hint="eastAsia" w:eastAsia="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省职业技能鉴定考评指导中心定期对各级各类竞赛进行监督检查，对获奖选手奖励落实情况进行督查。各级人力资源社会保障局竞赛管理部门对本辖区内的竞赛活动进行监督检查。</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val="en-US" w:eastAsia="zh-CN"/>
        </w:rPr>
        <w:t xml:space="preserve">第四十条  </w:t>
      </w:r>
      <w:r>
        <w:rPr>
          <w:rFonts w:hint="eastAsia" w:ascii="仿宋_GB2312" w:hAnsi="仿宋_GB2312" w:eastAsia="仿宋_GB2312" w:cs="仿宋_GB2312"/>
          <w:kern w:val="2"/>
          <w:sz w:val="32"/>
          <w:szCs w:val="32"/>
          <w:lang w:val="en-US" w:eastAsia="zh-CN" w:bidi="ar-SA"/>
        </w:rPr>
        <w:t>竞赛出现下列情形之一的，不认可竞赛结果，赛事不享受本办法所述奖励政策。</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（一）擅自变更竞赛项目、标准和方式的；</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（二）通用职业（工种）相关赛项的技术文件、竞赛试题未经人力资源社会保障部门审定的；</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（三）未按规定组织竞赛命题工作或违反保密规定造成竞赛试题泄密的；</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（四）未按竞赛规则和评判标准客观、公正评判，造成竞赛成绩失实的；</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（五）组织管理混乱，弄虚作假、徇私舞弊等，造成恶劣影响的；</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（六）其他违反竞赛纪律和规定的情形。</w:t>
      </w:r>
    </w:p>
    <w:p>
      <w:pPr>
        <w:keepNext w:val="0"/>
        <w:keepLines w:val="0"/>
        <w:pageBreakBefore w:val="0"/>
        <w:kinsoku/>
        <w:wordWrap/>
        <w:overflowPunct/>
        <w:topLinePunct w:val="0"/>
        <w:autoSpaceDE/>
        <w:autoSpaceDN/>
        <w:bidi w:val="0"/>
        <w:snapToGrid w:val="0"/>
        <w:spacing w:beforeLines="0" w:afterLines="0" w:line="600" w:lineRule="exact"/>
        <w:ind w:firstLine="630"/>
        <w:textAlignment w:val="auto"/>
        <w:rPr>
          <w:rFonts w:hint="eastAsia" w:ascii="仿宋_GB2312" w:hAnsi="仿宋_GB2312" w:eastAsia="仿宋_GB2312" w:cs="仿宋_GB2312"/>
          <w:kern w:val="2"/>
          <w:sz w:val="32"/>
          <w:szCs w:val="32"/>
          <w:lang w:val="en-US" w:eastAsia="zh-CN" w:bidi="ar-SA"/>
        </w:rPr>
      </w:pPr>
      <w:r>
        <w:rPr>
          <w:rFonts w:eastAsia="黑体"/>
          <w:b w:val="0"/>
          <w:bCs w:val="0"/>
          <w:sz w:val="32"/>
          <w:szCs w:val="32"/>
        </w:rPr>
        <w:t>第</w:t>
      </w:r>
      <w:r>
        <w:rPr>
          <w:rFonts w:hint="eastAsia" w:eastAsia="黑体"/>
          <w:b w:val="0"/>
          <w:bCs w:val="0"/>
          <w:sz w:val="32"/>
          <w:szCs w:val="32"/>
          <w:lang w:val="en-US" w:eastAsia="zh-CN"/>
        </w:rPr>
        <w:t>四十一</w:t>
      </w:r>
      <w:r>
        <w:rPr>
          <w:rFonts w:eastAsia="黑体"/>
          <w:b w:val="0"/>
          <w:bCs w:val="0"/>
          <w:sz w:val="32"/>
          <w:szCs w:val="32"/>
        </w:rPr>
        <w:t>条</w:t>
      </w:r>
      <w:r>
        <w:rPr>
          <w:rFonts w:hint="eastAsia" w:eastAsia="仿宋_GB2312"/>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人力资源社会保障部门对竞赛项目实施情况和资助资金使用情况进行评估，评估结果作为下年度安排竞赛计划的重要依据。对弄虚作假、骗取竞赛资助的，一经发现，追回资助资金。情节严重触犯法律法规的，移送司法机关处理。</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eastAsia" w:ascii="黑体" w:hAnsi="黑体" w:eastAsia="黑体" w:cs="黑体"/>
          <w:b w:val="0"/>
          <w:bCs w:val="0"/>
          <w:i w:val="0"/>
          <w:caps w:val="0"/>
          <w:color w:val="333333"/>
          <w:spacing w:val="0"/>
          <w:sz w:val="32"/>
          <w:szCs w:val="32"/>
          <w:shd w:val="clear" w:color="auto" w:fill="FFFFFF"/>
        </w:rPr>
      </w:pPr>
    </w:p>
    <w:p>
      <w:pPr>
        <w:keepNext w:val="0"/>
        <w:keepLines w:val="0"/>
        <w:pageBreakBefore w:val="0"/>
        <w:kinsoku/>
        <w:wordWrap/>
        <w:overflowPunct/>
        <w:topLinePunct w:val="0"/>
        <w:autoSpaceDE/>
        <w:autoSpaceDN/>
        <w:bidi w:val="0"/>
        <w:snapToGrid w:val="0"/>
        <w:spacing w:beforeLines="0" w:afterLines="0" w:line="600" w:lineRule="exact"/>
        <w:jc w:val="center"/>
        <w:textAlignment w:val="auto"/>
        <w:rPr>
          <w:rFonts w:hint="default" w:eastAsia="黑体"/>
          <w:b w:val="0"/>
          <w:bCs w:val="0"/>
          <w:sz w:val="32"/>
          <w:szCs w:val="32"/>
          <w:lang w:val="en-US" w:eastAsia="zh-CN"/>
        </w:rPr>
      </w:pPr>
      <w:r>
        <w:rPr>
          <w:rFonts w:hint="eastAsia" w:eastAsia="黑体"/>
          <w:b w:val="0"/>
          <w:bCs w:val="0"/>
          <w:sz w:val="32"/>
          <w:szCs w:val="32"/>
        </w:rPr>
        <w:t>第</w:t>
      </w:r>
      <w:r>
        <w:rPr>
          <w:rFonts w:hint="eastAsia" w:eastAsia="黑体"/>
          <w:b w:val="0"/>
          <w:bCs w:val="0"/>
          <w:sz w:val="32"/>
          <w:szCs w:val="32"/>
          <w:lang w:eastAsia="zh-CN"/>
        </w:rPr>
        <w:t>九</w:t>
      </w:r>
      <w:r>
        <w:rPr>
          <w:rFonts w:hint="eastAsia" w:eastAsia="黑体"/>
          <w:b w:val="0"/>
          <w:bCs w:val="0"/>
          <w:sz w:val="32"/>
          <w:szCs w:val="32"/>
        </w:rPr>
        <w:t xml:space="preserve">章  </w:t>
      </w:r>
      <w:r>
        <w:rPr>
          <w:rFonts w:hint="eastAsia" w:eastAsia="黑体"/>
          <w:b w:val="0"/>
          <w:bCs w:val="0"/>
          <w:sz w:val="32"/>
          <w:szCs w:val="32"/>
          <w:lang w:val="en-US" w:eastAsia="zh-CN"/>
        </w:rPr>
        <w:t>附则</w:t>
      </w:r>
    </w:p>
    <w:p>
      <w:pPr>
        <w:keepNext w:val="0"/>
        <w:keepLines w:val="0"/>
        <w:pageBreakBefore w:val="0"/>
        <w:kinsoku/>
        <w:wordWrap/>
        <w:overflowPunct/>
        <w:topLinePunct w:val="0"/>
        <w:autoSpaceDE/>
        <w:autoSpaceDN/>
        <w:bidi w:val="0"/>
        <w:snapToGrid w:val="0"/>
        <w:spacing w:beforeLines="0" w:afterLines="0" w:line="600" w:lineRule="exact"/>
        <w:ind w:firstLine="640" w:firstLineChars="200"/>
        <w:jc w:val="both"/>
        <w:textAlignment w:val="auto"/>
        <w:rPr>
          <w:rFonts w:hint="eastAsia" w:eastAsia="黑体"/>
          <w:b w:val="0"/>
          <w:bCs w:val="0"/>
          <w:sz w:val="32"/>
          <w:szCs w:val="32"/>
        </w:rPr>
      </w:pPr>
    </w:p>
    <w:p>
      <w:pPr>
        <w:keepNext w:val="0"/>
        <w:keepLines w:val="0"/>
        <w:pageBreakBefore w:val="0"/>
        <w:kinsoku/>
        <w:wordWrap/>
        <w:overflowPunct/>
        <w:topLinePunct w:val="0"/>
        <w:autoSpaceDE/>
        <w:autoSpaceDN/>
        <w:bidi w:val="0"/>
        <w:snapToGrid w:val="0"/>
        <w:spacing w:beforeLines="0" w:afterLines="0" w:line="600" w:lineRule="exact"/>
        <w:ind w:firstLine="630"/>
        <w:textAlignment w:val="auto"/>
        <w:rPr>
          <w:rFonts w:hint="eastAsia" w:ascii="仿宋_GB2312" w:hAnsi="仿宋_GB2312" w:eastAsia="仿宋_GB2312" w:cs="仿宋_GB2312"/>
          <w:kern w:val="2"/>
          <w:sz w:val="32"/>
          <w:szCs w:val="32"/>
          <w:lang w:val="en-US" w:eastAsia="zh-CN" w:bidi="ar-SA"/>
        </w:rPr>
      </w:pPr>
      <w:r>
        <w:rPr>
          <w:rFonts w:eastAsia="黑体"/>
          <w:b w:val="0"/>
          <w:bCs w:val="0"/>
          <w:sz w:val="32"/>
          <w:szCs w:val="32"/>
        </w:rPr>
        <w:t>第</w:t>
      </w:r>
      <w:r>
        <w:rPr>
          <w:rFonts w:hint="eastAsia" w:eastAsia="黑体"/>
          <w:b w:val="0"/>
          <w:bCs w:val="0"/>
          <w:sz w:val="32"/>
          <w:szCs w:val="32"/>
          <w:lang w:val="en-US" w:eastAsia="zh-CN"/>
        </w:rPr>
        <w:t>四十二</w:t>
      </w:r>
      <w:r>
        <w:rPr>
          <w:rFonts w:eastAsia="黑体"/>
          <w:b w:val="0"/>
          <w:bCs w:val="0"/>
          <w:sz w:val="32"/>
          <w:szCs w:val="32"/>
        </w:rPr>
        <w:t>条</w:t>
      </w:r>
      <w:r>
        <w:rPr>
          <w:rFonts w:hint="eastAsia" w:eastAsia="仿宋_GB2312"/>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各地区、各行业（系统）可依据本办法制定具体实施细则。</w:t>
      </w:r>
    </w:p>
    <w:p>
      <w:pPr>
        <w:keepNext w:val="0"/>
        <w:keepLines w:val="0"/>
        <w:pageBreakBefore w:val="0"/>
        <w:kinsoku/>
        <w:wordWrap/>
        <w:overflowPunct/>
        <w:topLinePunct w:val="0"/>
        <w:autoSpaceDE/>
        <w:autoSpaceDN/>
        <w:bidi w:val="0"/>
        <w:snapToGrid w:val="0"/>
        <w:spacing w:beforeLines="0" w:afterLines="0" w:line="600" w:lineRule="exact"/>
        <w:ind w:firstLine="630"/>
        <w:textAlignment w:val="auto"/>
        <w:rPr>
          <w:rFonts w:hint="eastAsia" w:ascii="仿宋_GB2312" w:hAnsi="仿宋_GB2312" w:eastAsia="仿宋_GB2312" w:cs="仿宋_GB2312"/>
          <w:kern w:val="2"/>
          <w:sz w:val="32"/>
          <w:szCs w:val="32"/>
          <w:lang w:val="en-US" w:eastAsia="zh-CN" w:bidi="ar-SA"/>
        </w:rPr>
      </w:pPr>
      <w:r>
        <w:rPr>
          <w:rFonts w:eastAsia="黑体"/>
          <w:b w:val="0"/>
          <w:bCs w:val="0"/>
          <w:sz w:val="32"/>
          <w:szCs w:val="32"/>
        </w:rPr>
        <w:t>第</w:t>
      </w:r>
      <w:r>
        <w:rPr>
          <w:rFonts w:hint="eastAsia" w:eastAsia="黑体"/>
          <w:b w:val="0"/>
          <w:bCs w:val="0"/>
          <w:sz w:val="32"/>
          <w:szCs w:val="32"/>
          <w:lang w:val="en-US" w:eastAsia="zh-CN"/>
        </w:rPr>
        <w:t>四十三</w:t>
      </w:r>
      <w:r>
        <w:rPr>
          <w:rFonts w:eastAsia="黑体"/>
          <w:b w:val="0"/>
          <w:bCs w:val="0"/>
          <w:sz w:val="32"/>
          <w:szCs w:val="32"/>
        </w:rPr>
        <w:t>条</w:t>
      </w:r>
      <w:r>
        <w:rPr>
          <w:rFonts w:hint="eastAsia" w:eastAsia="黑体"/>
          <w:b w:val="0"/>
          <w:bCs w:val="0"/>
          <w:sz w:val="32"/>
          <w:szCs w:val="32"/>
          <w:lang w:val="en-US" w:eastAsia="zh-CN"/>
        </w:rPr>
        <w:t xml:space="preserve">  </w:t>
      </w:r>
      <w:r>
        <w:rPr>
          <w:rFonts w:hint="eastAsia" w:ascii="仿宋_GB2312" w:hAnsi="仿宋_GB2312" w:eastAsia="仿宋_GB2312" w:cs="仿宋_GB2312"/>
          <w:kern w:val="2"/>
          <w:sz w:val="32"/>
          <w:szCs w:val="32"/>
          <w:lang w:val="en-US" w:eastAsia="zh-CN" w:bidi="ar-SA"/>
        </w:rPr>
        <w:t>本办法自印发之日起执行，原《贵州省职业技能竞赛管理办法（试行）》（黔人社通〔2021〕193号）同时废止。</w:t>
      </w:r>
    </w:p>
    <w:p>
      <w:pPr>
        <w:keepNext w:val="0"/>
        <w:keepLines w:val="0"/>
        <w:pageBreakBefore w:val="0"/>
        <w:kinsoku/>
        <w:wordWrap/>
        <w:overflowPunct/>
        <w:topLinePunct w:val="0"/>
        <w:autoSpaceDE/>
        <w:autoSpaceDN/>
        <w:bidi w:val="0"/>
        <w:snapToGrid w:val="0"/>
        <w:spacing w:beforeLines="0" w:afterLines="0" w:line="600" w:lineRule="exact"/>
        <w:ind w:firstLine="630"/>
        <w:textAlignment w:val="auto"/>
        <w:rPr>
          <w:rFonts w:hint="eastAsia"/>
          <w:lang w:val="en-US" w:eastAsia="zh-CN"/>
        </w:rPr>
      </w:pPr>
    </w:p>
    <w:sectPr>
      <w:pgSz w:w="11906" w:h="16838"/>
      <w:pgMar w:top="2154" w:right="1587" w:bottom="198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F1D3D"/>
    <w:multiLevelType w:val="singleLevel"/>
    <w:tmpl w:val="EA7F1D3D"/>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527CA"/>
    <w:rsid w:val="0145361D"/>
    <w:rsid w:val="01F43FC9"/>
    <w:rsid w:val="01F97452"/>
    <w:rsid w:val="03667629"/>
    <w:rsid w:val="0368442D"/>
    <w:rsid w:val="039F7B5A"/>
    <w:rsid w:val="043304EB"/>
    <w:rsid w:val="04A869D1"/>
    <w:rsid w:val="05026231"/>
    <w:rsid w:val="06AD3C07"/>
    <w:rsid w:val="072907E0"/>
    <w:rsid w:val="073A1EBA"/>
    <w:rsid w:val="079D7363"/>
    <w:rsid w:val="07DD5090"/>
    <w:rsid w:val="07F00AF9"/>
    <w:rsid w:val="0896349A"/>
    <w:rsid w:val="08A36CF2"/>
    <w:rsid w:val="09357B78"/>
    <w:rsid w:val="0A984BB5"/>
    <w:rsid w:val="0AFB1BC7"/>
    <w:rsid w:val="0B90269C"/>
    <w:rsid w:val="0CDE7EC3"/>
    <w:rsid w:val="0D007407"/>
    <w:rsid w:val="0D1A50C5"/>
    <w:rsid w:val="0DB55E62"/>
    <w:rsid w:val="0E940DEC"/>
    <w:rsid w:val="0FD67661"/>
    <w:rsid w:val="10455C34"/>
    <w:rsid w:val="1082052F"/>
    <w:rsid w:val="117D6709"/>
    <w:rsid w:val="11A74930"/>
    <w:rsid w:val="11C70BDD"/>
    <w:rsid w:val="123E16D9"/>
    <w:rsid w:val="137E0C28"/>
    <w:rsid w:val="152108D1"/>
    <w:rsid w:val="15674A1D"/>
    <w:rsid w:val="15835CB7"/>
    <w:rsid w:val="15EC1402"/>
    <w:rsid w:val="16565406"/>
    <w:rsid w:val="18316649"/>
    <w:rsid w:val="1A240360"/>
    <w:rsid w:val="1A421EB6"/>
    <w:rsid w:val="1ADC2E97"/>
    <w:rsid w:val="1AE8069A"/>
    <w:rsid w:val="1B2E44F4"/>
    <w:rsid w:val="1C727110"/>
    <w:rsid w:val="1E814CDE"/>
    <w:rsid w:val="1EE4402A"/>
    <w:rsid w:val="1FA5134B"/>
    <w:rsid w:val="20CA701A"/>
    <w:rsid w:val="225738F5"/>
    <w:rsid w:val="24954D53"/>
    <w:rsid w:val="2546398E"/>
    <w:rsid w:val="25925507"/>
    <w:rsid w:val="26E07FFF"/>
    <w:rsid w:val="271D77F2"/>
    <w:rsid w:val="2749249F"/>
    <w:rsid w:val="280C73B7"/>
    <w:rsid w:val="290E5F82"/>
    <w:rsid w:val="294F674B"/>
    <w:rsid w:val="2A700F04"/>
    <w:rsid w:val="2ADD6299"/>
    <w:rsid w:val="2AFE3F62"/>
    <w:rsid w:val="2B7F32B0"/>
    <w:rsid w:val="2DA420F6"/>
    <w:rsid w:val="2DDB59DA"/>
    <w:rsid w:val="2E566069"/>
    <w:rsid w:val="2F256016"/>
    <w:rsid w:val="304C773F"/>
    <w:rsid w:val="323B05D5"/>
    <w:rsid w:val="33247B15"/>
    <w:rsid w:val="33A10286"/>
    <w:rsid w:val="34AB6F0D"/>
    <w:rsid w:val="3515325D"/>
    <w:rsid w:val="36496FA8"/>
    <w:rsid w:val="369A6542"/>
    <w:rsid w:val="36AC3B4E"/>
    <w:rsid w:val="36C532D8"/>
    <w:rsid w:val="37672871"/>
    <w:rsid w:val="37C736C0"/>
    <w:rsid w:val="385B3E64"/>
    <w:rsid w:val="39142844"/>
    <w:rsid w:val="39250DEE"/>
    <w:rsid w:val="39372E18"/>
    <w:rsid w:val="3A7200A2"/>
    <w:rsid w:val="3B835D7D"/>
    <w:rsid w:val="3B9E21E3"/>
    <w:rsid w:val="3CA4183E"/>
    <w:rsid w:val="3E71538B"/>
    <w:rsid w:val="40FB31AB"/>
    <w:rsid w:val="42240501"/>
    <w:rsid w:val="42500D89"/>
    <w:rsid w:val="42EC3D45"/>
    <w:rsid w:val="43037BB1"/>
    <w:rsid w:val="4320489D"/>
    <w:rsid w:val="43A53A1F"/>
    <w:rsid w:val="4492382F"/>
    <w:rsid w:val="45C30071"/>
    <w:rsid w:val="46C76D42"/>
    <w:rsid w:val="48157F5E"/>
    <w:rsid w:val="48E1341B"/>
    <w:rsid w:val="49351245"/>
    <w:rsid w:val="49610CAB"/>
    <w:rsid w:val="497A6DB4"/>
    <w:rsid w:val="49AF62BD"/>
    <w:rsid w:val="49D20761"/>
    <w:rsid w:val="4A906510"/>
    <w:rsid w:val="4B264D58"/>
    <w:rsid w:val="4BA266BF"/>
    <w:rsid w:val="4CAB16A6"/>
    <w:rsid w:val="4D1527CA"/>
    <w:rsid w:val="4D431642"/>
    <w:rsid w:val="4D4C0C47"/>
    <w:rsid w:val="4D4C4F56"/>
    <w:rsid w:val="4D885A1F"/>
    <w:rsid w:val="4E1611CD"/>
    <w:rsid w:val="4FBF5C8C"/>
    <w:rsid w:val="4FEF697B"/>
    <w:rsid w:val="500C0C41"/>
    <w:rsid w:val="50EF4F6A"/>
    <w:rsid w:val="52554706"/>
    <w:rsid w:val="53B034CF"/>
    <w:rsid w:val="543B60FE"/>
    <w:rsid w:val="55833514"/>
    <w:rsid w:val="56D13BF1"/>
    <w:rsid w:val="57C5184D"/>
    <w:rsid w:val="57CA4B9D"/>
    <w:rsid w:val="58295325"/>
    <w:rsid w:val="58A06570"/>
    <w:rsid w:val="58D05741"/>
    <w:rsid w:val="5A2C05B9"/>
    <w:rsid w:val="5A6F6145"/>
    <w:rsid w:val="5B8B1B79"/>
    <w:rsid w:val="5DD3655E"/>
    <w:rsid w:val="5DD67C6A"/>
    <w:rsid w:val="60332024"/>
    <w:rsid w:val="60585B5B"/>
    <w:rsid w:val="6183209E"/>
    <w:rsid w:val="6228675E"/>
    <w:rsid w:val="63E21A8C"/>
    <w:rsid w:val="641E4AFE"/>
    <w:rsid w:val="65C23CAC"/>
    <w:rsid w:val="664A3858"/>
    <w:rsid w:val="66C8182F"/>
    <w:rsid w:val="67920F46"/>
    <w:rsid w:val="6813793F"/>
    <w:rsid w:val="68FF351E"/>
    <w:rsid w:val="69194288"/>
    <w:rsid w:val="69206267"/>
    <w:rsid w:val="69EC4ACC"/>
    <w:rsid w:val="69F255CA"/>
    <w:rsid w:val="69FE169D"/>
    <w:rsid w:val="6A134941"/>
    <w:rsid w:val="6E7570AA"/>
    <w:rsid w:val="6EA72C7D"/>
    <w:rsid w:val="6EB03BD7"/>
    <w:rsid w:val="6FC478D3"/>
    <w:rsid w:val="7112089B"/>
    <w:rsid w:val="7146712D"/>
    <w:rsid w:val="71687A20"/>
    <w:rsid w:val="71C354CC"/>
    <w:rsid w:val="72466289"/>
    <w:rsid w:val="72543114"/>
    <w:rsid w:val="73586AC6"/>
    <w:rsid w:val="73BA4A84"/>
    <w:rsid w:val="761963AB"/>
    <w:rsid w:val="776B720B"/>
    <w:rsid w:val="77D82F1C"/>
    <w:rsid w:val="78A72BC4"/>
    <w:rsid w:val="791B4ED4"/>
    <w:rsid w:val="79D81D70"/>
    <w:rsid w:val="7A0D707A"/>
    <w:rsid w:val="7C00626B"/>
    <w:rsid w:val="7C026955"/>
    <w:rsid w:val="7CB10785"/>
    <w:rsid w:val="7E2D63B4"/>
    <w:rsid w:val="7EE22CA9"/>
    <w:rsid w:val="7EFF5B43"/>
    <w:rsid w:val="7F47795F"/>
    <w:rsid w:val="7F934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spacing w:line="560" w:lineRule="exact"/>
      <w:ind w:firstLine="721" w:firstLineChars="200"/>
    </w:pPr>
  </w:style>
  <w:style w:type="paragraph" w:styleId="3">
    <w:name w:val="Body Text"/>
    <w:basedOn w:val="1"/>
    <w:qFormat/>
    <w:uiPriority w:val="0"/>
    <w:rPr>
      <w:rFonts w:ascii="仿宋_GB2312" w:eastAsia="仿宋_GB2312"/>
      <w:sz w:val="32"/>
    </w:rPr>
  </w:style>
  <w:style w:type="paragraph" w:styleId="4">
    <w:name w:val="annotation text"/>
    <w:basedOn w:val="1"/>
    <w:qFormat/>
    <w:uiPriority w:val="0"/>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line="560" w:lineRule="exact"/>
      <w:ind w:firstLine="721" w:firstLineChars="200"/>
    </w:pPr>
    <w:rPr>
      <w:rFonts w:eastAsia="仿宋_GB2312"/>
      <w:sz w:val="32"/>
    </w:rPr>
  </w:style>
  <w:style w:type="character" w:styleId="12">
    <w:name w:val="Hyperlink"/>
    <w:basedOn w:val="11"/>
    <w:qFormat/>
    <w:uiPriority w:val="0"/>
    <w:rPr>
      <w:color w:val="0000FF"/>
      <w:u w:val="single"/>
    </w:rPr>
  </w:style>
  <w:style w:type="paragraph" w:customStyle="1"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4">
    <w:name w:val="Body Text Indent"/>
    <w:basedOn w:val="1"/>
    <w:qFormat/>
    <w:uiPriority w:val="0"/>
    <w:pPr>
      <w:ind w:firstLine="959" w:firstLineChars="300"/>
    </w:pPr>
    <w:rPr>
      <w:rFonts w:eastAsia="仿宋_GB2312"/>
      <w:sz w:val="32"/>
    </w:rPr>
  </w:style>
  <w:style w:type="character" w:customStyle="1" w:styleId="15">
    <w:name w:val="p51"/>
    <w:qFormat/>
    <w:uiPriority w:val="0"/>
    <w:rPr>
      <w:rFonts w:hint="eastAsia" w:ascii="ΟGB2312" w:hAnsi="Times New Roman" w:eastAsia="ΟGB2312" w:cs="Times New Roman"/>
      <w:sz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7147</Words>
  <Characters>7214</Characters>
  <Lines>0</Lines>
  <Paragraphs>0</Paragraphs>
  <TotalTime>121</TotalTime>
  <ScaleCrop>false</ScaleCrop>
  <LinksUpToDate>false</LinksUpToDate>
  <CharactersWithSpaces>7338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2020-07-21T18:22:00Z</dcterms:created>
  <dc:creator>1710</dc:creator>
  <cp:lastModifiedBy>吕淑娟</cp:lastModifiedBy>
  <cp:lastPrinted>2025-11-25T15:51:00Z</cp:lastPrinted>
  <dcterms:modified xsi:type="dcterms:W3CDTF">2025-11-26T11:40:43Z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5A49CF2CA3FB42C19B86742864C6F28F_13</vt:lpwstr>
  </property>
  <property fmtid="{D5CDD505-2E9C-101B-9397-08002B2CF9AE}" pid="4" name="KSOTemplateDocerSaveRecord">
    <vt:lpwstr>eyJoZGlkIjoiMjdhYzkwMzM2NjI4YWMxODFjNGI0NjU5ZmJmMzAxZjQiLCJ1c2VySWQiOiIxMDQ2NjEzNTIxIn0=</vt:lpwstr>
  </property>
</Properties>
</file>