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jc w:val="center"/>
        <w:textAlignment w:val="auto"/>
        <w:outlineLvl w:val="0"/>
        <w:rPr>
          <w:rFonts w:hint="eastAsia" w:ascii="方正小标宋简体" w:hAnsi="方正小标宋简体" w:eastAsia="方正小标宋简体" w:cs="方正小标宋简体"/>
          <w:b w:val="0"/>
          <w:bCs w:val="0"/>
          <w:spacing w:val="-6"/>
          <w:w w:val="100"/>
          <w:sz w:val="44"/>
          <w:szCs w:val="44"/>
          <w:lang w:val="en-US" w:eastAsia="zh-CN"/>
        </w:rPr>
      </w:pPr>
      <w:bookmarkStart w:id="0" w:name="_GoBack"/>
      <w:r>
        <w:rPr>
          <w:rFonts w:hint="eastAsia" w:ascii="方正小标宋简体" w:hAnsi="方正小标宋简体" w:eastAsia="方正小标宋简体" w:cs="方正小标宋简体"/>
          <w:b w:val="0"/>
          <w:bCs w:val="0"/>
          <w:spacing w:val="-6"/>
          <w:w w:val="100"/>
          <w:sz w:val="44"/>
          <w:szCs w:val="44"/>
          <w:lang w:val="en-US" w:eastAsia="zh-CN"/>
        </w:rPr>
        <w:t>贵州省全口径劳动力就业信息更新管理办法</w:t>
      </w:r>
      <w:bookmarkEnd w:id="0"/>
    </w:p>
    <w:p>
      <w:pPr>
        <w:keepNext w:val="0"/>
        <w:keepLines w:val="0"/>
        <w:pageBreakBefore w:val="0"/>
        <w:widowControl w:val="0"/>
        <w:kinsoku/>
        <w:wordWrap/>
        <w:overflowPunct/>
        <w:topLinePunct w:val="0"/>
        <w:autoSpaceDE/>
        <w:autoSpaceDN/>
        <w:bidi w:val="0"/>
        <w:adjustRightInd/>
        <w:spacing w:line="600" w:lineRule="exact"/>
        <w:jc w:val="center"/>
        <w:textAlignment w:val="auto"/>
        <w:outlineLvl w:val="0"/>
        <w:rPr>
          <w:rFonts w:hint="eastAsia" w:ascii="楷体_GB2312" w:hAnsi="楷体_GB2312" w:eastAsia="楷体_GB2312" w:cs="楷体_GB2312"/>
          <w:b w:val="0"/>
          <w:bCs w:val="0"/>
          <w:spacing w:val="-6"/>
          <w:w w:val="100"/>
          <w:sz w:val="32"/>
          <w:szCs w:val="32"/>
          <w:lang w:val="en-US" w:eastAsia="zh-CN"/>
        </w:rPr>
      </w:pPr>
      <w:r>
        <w:rPr>
          <w:rFonts w:hint="eastAsia" w:ascii="楷体_GB2312" w:hAnsi="楷体_GB2312" w:eastAsia="楷体_GB2312" w:cs="楷体_GB2312"/>
          <w:b w:val="0"/>
          <w:bCs w:val="0"/>
          <w:spacing w:val="-6"/>
          <w:w w:val="100"/>
          <w:sz w:val="32"/>
          <w:szCs w:val="32"/>
          <w:lang w:val="en-US" w:eastAsia="zh-CN"/>
        </w:rPr>
        <w:t>（试行）</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第一条</w:t>
      </w:r>
      <w:r>
        <w:rPr>
          <w:rFonts w:hint="eastAsia" w:ascii="仿宋_GB2312" w:hAnsi="仿宋_GB2312" w:eastAsia="仿宋_GB2312" w:cs="仿宋_GB2312"/>
          <w:b w:val="0"/>
          <w:bCs w:val="0"/>
          <w:sz w:val="32"/>
          <w:szCs w:val="32"/>
          <w:lang w:val="en-US" w:eastAsia="zh-CN"/>
        </w:rPr>
        <w:t xml:space="preserve"> 为做好全口径劳动力就业信息更新工作，根据</w:t>
      </w:r>
      <w:r>
        <w:rPr>
          <w:rFonts w:hint="eastAsia" w:ascii="仿宋_GB2312" w:hAnsi="仿宋_GB2312" w:eastAsia="仿宋_GB2312" w:cs="仿宋_GB2312"/>
          <w:b w:val="0"/>
          <w:bCs w:val="0"/>
          <w:color w:val="auto"/>
          <w:sz w:val="32"/>
          <w:szCs w:val="32"/>
          <w:lang w:val="en-US" w:eastAsia="zh-CN"/>
        </w:rPr>
        <w:t>《贵州省劳务就业大数据平</w:t>
      </w:r>
      <w:r>
        <w:rPr>
          <w:rFonts w:hint="eastAsia" w:ascii="仿宋_GB2312" w:hAnsi="仿宋_GB2312" w:eastAsia="仿宋_GB2312" w:cs="仿宋_GB2312"/>
          <w:b w:val="0"/>
          <w:bCs w:val="0"/>
          <w:sz w:val="32"/>
          <w:szCs w:val="32"/>
          <w:lang w:val="en-US" w:eastAsia="zh-CN"/>
        </w:rPr>
        <w:t>台优化升级暨全口径劳动力就业监测工作实施方案》《贵州省全口径劳动力就业信息采集（更新）工作实施方案》，制定本办法。</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default"/>
          <w:lang w:val="en-US" w:eastAsia="zh-CN"/>
        </w:rPr>
      </w:pP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全口径劳动力数据库的更新对象是本省16-59周岁的户籍人口。</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全口径劳动力就业信息主要依托贵州省劳务就业大数据平台（以下简称平台）开展数据更新。</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市（州）、县（市、区、特区）</w:t>
      </w:r>
      <w:r>
        <w:rPr>
          <w:rFonts w:hint="eastAsia" w:ascii="仿宋_GB2312" w:hAnsi="仿宋_GB2312" w:eastAsia="仿宋_GB2312" w:cs="仿宋_GB2312"/>
          <w:b w:val="0"/>
          <w:bCs w:val="0"/>
          <w:color w:val="auto"/>
          <w:sz w:val="32"/>
          <w:szCs w:val="32"/>
          <w:lang w:val="en-US" w:eastAsia="zh-CN"/>
        </w:rPr>
        <w:t>可运用自有信息化采集工具开展。运用自有采集信息化工具开展工作的，须确保采集指标符合省厅的要求，数据能及时导入省级数据库</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lang w:val="en-US" w:eastAsia="zh-CN"/>
        </w:rPr>
        <w:t>第四条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全口径劳动力就业数据更新内容是劳动者的就失业状态、就业方式、收入情况、技能情况、就业意愿等内容</w:t>
      </w:r>
      <w:r>
        <w:rPr>
          <w:rFonts w:hint="eastAsia" w:ascii="仿宋_GB2312" w:hAnsi="仿宋_GB2312" w:eastAsia="仿宋_GB2312" w:cs="仿宋_GB2312"/>
          <w:b w:val="0"/>
          <w:bCs w:val="0"/>
          <w:color w:val="auto"/>
          <w:sz w:val="32"/>
          <w:szCs w:val="32"/>
          <w:lang w:eastAsia="zh-CN"/>
        </w:rPr>
        <w:t>。</w:t>
      </w:r>
    </w:p>
    <w:p>
      <w:pPr>
        <w:pStyle w:val="7"/>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jc w:val="center"/>
        <w:textAlignment w:val="auto"/>
        <w:outlineLvl w:val="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sz w:val="32"/>
          <w:szCs w:val="32"/>
          <w:lang w:val="en-US" w:eastAsia="zh-CN"/>
        </w:rPr>
        <w:t>第二章 数据更新内容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eastAsia="zh-CN"/>
        </w:rPr>
        <w:t>第五条</w:t>
      </w:r>
      <w:r>
        <w:rPr>
          <w:rFonts w:hint="eastAsia" w:ascii="仿宋_GB2312" w:hAnsi="仿宋_GB2312" w:eastAsia="仿宋_GB2312" w:cs="仿宋_GB2312"/>
          <w:b w:val="0"/>
          <w:bCs w:val="0"/>
          <w:color w:val="auto"/>
          <w:sz w:val="32"/>
          <w:szCs w:val="32"/>
          <w:lang w:val="en-US" w:eastAsia="zh-CN"/>
        </w:rPr>
        <w:t xml:space="preserve"> 更新类别。根据劳动者就业稳定程度对全口径劳动力建立“绿、黄、橙、红”分级分类更新：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（一）“绿色”为高质量就业群体，包括机关事业单位从业人员、企业职工等稳定缴纳社会保险的人群，这部分人员就业稳定度高，不用频繁采集和更新相关数据，采取数据比对按年度进行信息更新维护。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（二）“黄色”为就业相对稳定群体，包括全省个体工商户、灵活就业人员等群体，这部分人员就业状态相对稳定，按季度通过数据采集及比对更新相关信息。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（三）“橙色”为重点群体，包括脱贫劳动力、边缘易致贫户劳动力、易地搬迁劳动力、高校未就业毕业生等群体，这部分人员就业状态需要高度关注，通过政府购买服务方式按月更新相关信息。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红色”为登记失业人员和信息更新中动态出现的有就业意愿未就业人员，通过省劳务就业大数据平台开展人岗匹配服务，同时落实“1311”就业服务（即：开展一次就业创业政策宣讲，三次职业介绍，一次职业指导，一次职业技能培训等服务）帮助其尽快实现就业，并通过省劳务就业大数据平台更新就业信息。</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jc w:val="both"/>
        <w:textAlignment w:val="auto"/>
        <w:outlineLvl w:val="0"/>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数据更新方式</w:t>
      </w:r>
    </w:p>
    <w:p>
      <w:pPr>
        <w:pStyle w:val="7"/>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第六条</w:t>
      </w:r>
      <w:r>
        <w:rPr>
          <w:rFonts w:hint="eastAsia" w:ascii="仿宋_GB2312" w:hAnsi="仿宋_GB2312" w:eastAsia="仿宋_GB2312" w:cs="仿宋_GB2312"/>
          <w:sz w:val="32"/>
          <w:szCs w:val="32"/>
          <w:lang w:val="en-US" w:eastAsia="zh-CN"/>
        </w:rPr>
        <w:t xml:space="preserve"> 各地要充分发挥街道（乡镇）、社区（村、居）、安置点干部、网格员、楼栋长等基层力量作用，依托平台等工具集中开展数据更新。</w:t>
      </w:r>
    </w:p>
    <w:p>
      <w:pPr>
        <w:pStyle w:val="7"/>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各级人社部门要统筹使用各类公益性岗位人员，保障数据更新的人员力量，原则上每个社区（村）都应配备一名专职的数据更新人员。</w:t>
      </w:r>
    </w:p>
    <w:p>
      <w:pPr>
        <w:pStyle w:val="4"/>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lang w:val="en-US" w:eastAsia="zh-CN"/>
        </w:rPr>
      </w:pP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sz w:val="32"/>
          <w:szCs w:val="32"/>
          <w:lang w:val="en-US" w:eastAsia="zh-CN"/>
        </w:rPr>
        <w:t xml:space="preserve"> 各地可通过政府购买服务方式，依托国有公益性劳务公司、劳务合作社、市场化人力资源机构等市场主体开展更新工作。</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jc w:val="center"/>
        <w:textAlignment w:val="auto"/>
        <w:outlineLvl w:val="0"/>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数据核验机制</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outlineLvl w:val="0"/>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b w:val="0"/>
          <w:bCs w:val="0"/>
          <w:sz w:val="32"/>
          <w:szCs w:val="32"/>
          <w:lang w:val="en-US" w:eastAsia="zh-CN"/>
        </w:rPr>
        <w:t xml:space="preserve"> 县级人社部门要将全口径劳动力数据库信息更新工作明确到人、责任到人，随时掌握工作进度，对推进慢的街道（乡镇）、社区（村、居）要及时沟通督促。</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各地要按照《贵州省劳务就业大数据平台优化升级暨全口径劳动力就业监测工作实施方案》有关规定验收数据，数据质量达到要求的，可按规定向更新单位拨付相应经费。</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outlineLvl w:val="0"/>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b w:val="0"/>
          <w:bCs w:val="0"/>
          <w:sz w:val="32"/>
          <w:szCs w:val="32"/>
          <w:lang w:val="en-US" w:eastAsia="zh-CN"/>
        </w:rPr>
        <w:t xml:space="preserve"> 市（州）人社部门要加强对各县（市、区、特区）数据的检验把关，对各县更新数据的进度、完整性、正确率等情况进行检验，确保数据质量和工作进度。各市（州）要指导下辖县（市、区、特区）于每年1月对全口径劳动力数据质量开展验收，并以市（州）为单位将本地区全口径数据库质量验收情况报告及时报省厅备案。</w:t>
      </w:r>
    </w:p>
    <w:p>
      <w:pPr>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outlineLvl w:val="0"/>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b w:val="0"/>
          <w:bCs w:val="0"/>
          <w:sz w:val="32"/>
          <w:szCs w:val="32"/>
          <w:lang w:val="en-US" w:eastAsia="zh-CN"/>
        </w:rPr>
        <w:t xml:space="preserve"> 省级将适时对各市、县全口径劳动力数据信息通过电话抽查、数据比对等方式开展抽查，抽查发现信息完整率、正确率达不到要求的，给予相关地区30日的整改期，相关地区务必在整改期内完成整改，不按要求进行整改的，省厅将进行通报。</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jc w:val="center"/>
        <w:textAlignment w:val="auto"/>
        <w:outlineLvl w:val="0"/>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jc w:val="center"/>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工作保障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第十一条</w:t>
      </w:r>
      <w:r>
        <w:rPr>
          <w:rFonts w:hint="eastAsia" w:ascii="仿宋_GB2312" w:hAnsi="仿宋_GB2312" w:eastAsia="仿宋_GB2312" w:cs="仿宋_GB2312"/>
          <w:b w:val="0"/>
          <w:bCs w:val="0"/>
          <w:color w:val="auto"/>
          <w:spacing w:val="0"/>
          <w:sz w:val="32"/>
          <w:szCs w:val="32"/>
          <w:lang w:val="en-US" w:eastAsia="zh-CN"/>
        </w:rPr>
        <w:t xml:space="preserve"> 通过市场化渠道更新数据的地区，数据更新服务购</w:t>
      </w:r>
      <w:r>
        <w:rPr>
          <w:rFonts w:hint="default" w:ascii="仿宋_GB2312" w:hAnsi="仿宋_GB2312" w:eastAsia="仿宋_GB2312" w:cs="仿宋_GB2312"/>
          <w:b w:val="0"/>
          <w:bCs w:val="0"/>
          <w:color w:val="auto"/>
          <w:spacing w:val="0"/>
          <w:sz w:val="32"/>
          <w:szCs w:val="32"/>
          <w:lang w:eastAsia="zh-CN"/>
        </w:rPr>
        <w:t>买</w:t>
      </w:r>
      <w:r>
        <w:rPr>
          <w:rFonts w:hint="eastAsia" w:ascii="仿宋_GB2312" w:hAnsi="仿宋_GB2312" w:eastAsia="仿宋_GB2312" w:cs="仿宋_GB2312"/>
          <w:b w:val="0"/>
          <w:bCs w:val="0"/>
          <w:color w:val="auto"/>
          <w:spacing w:val="0"/>
          <w:sz w:val="32"/>
          <w:szCs w:val="32"/>
          <w:lang w:val="en-US" w:eastAsia="zh-CN"/>
        </w:rPr>
        <w:t>可从就业补助资金列支，购买价格及资金补贴方式由各地与财政部门沟通协商后，统筹考虑当地市场行情、就业补助资金承受能力等因素自行制定。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第十二条</w:t>
      </w:r>
      <w:r>
        <w:rPr>
          <w:rFonts w:hint="eastAsia" w:ascii="仿宋_GB2312" w:hAnsi="仿宋_GB2312" w:eastAsia="仿宋_GB2312" w:cs="仿宋_GB2312"/>
          <w:b w:val="0"/>
          <w:bCs w:val="0"/>
          <w:color w:val="auto"/>
          <w:spacing w:val="0"/>
          <w:sz w:val="32"/>
          <w:szCs w:val="32"/>
          <w:lang w:val="en-US" w:eastAsia="zh-CN"/>
        </w:rPr>
        <w:t xml:space="preserve"> 省厅将各地开展全口径劳动力就业信息更新情况纳入就业补助资金分配因素，视各地工作总量、任务完成率、数据完整性、数据准确性等确定数据更新资金拨付。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color w:val="auto"/>
          <w:spacing w:val="0"/>
          <w:sz w:val="32"/>
          <w:szCs w:val="32"/>
          <w:lang w:val="en-US" w:eastAsia="zh-CN"/>
        </w:rPr>
        <w:t>第十三条</w:t>
      </w:r>
      <w:r>
        <w:rPr>
          <w:rFonts w:hint="eastAsia" w:ascii="仿宋_GB2312" w:hAnsi="仿宋_GB2312" w:eastAsia="仿宋_GB2312" w:cs="仿宋_GB2312"/>
          <w:b w:val="0"/>
          <w:bCs w:val="0"/>
          <w:color w:val="auto"/>
          <w:spacing w:val="0"/>
          <w:sz w:val="32"/>
          <w:szCs w:val="32"/>
          <w:lang w:val="en-US" w:eastAsia="zh-CN"/>
        </w:rPr>
        <w:t xml:space="preserve"> 数据更新期间，各地要严格遵守相关法律、法规、政策规定，保证数据安全，确保不发生数据泄露。与数据更新单位签署数据保密协议，不得向更新单位外的无关第三方提供个人信息，如发现违规行为，将严格追究相关单位和个人责任</w:t>
      </w:r>
      <w:r>
        <w:rPr>
          <w:rFonts w:hint="eastAsia" w:ascii="仿宋_GB2312" w:hAnsi="仿宋_GB2312" w:eastAsia="仿宋_GB2312" w:cs="仿宋_GB2312"/>
          <w:b w:val="0"/>
          <w:bCs w:val="0"/>
          <w:spacing w:val="0"/>
          <w:sz w:val="32"/>
          <w:szCs w:val="32"/>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textAlignment w:val="auto"/>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jc w:val="center"/>
        <w:textAlignment w:val="auto"/>
        <w:outlineLvl w:val="0"/>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第</w:t>
      </w:r>
      <w:r>
        <w:rPr>
          <w:rFonts w:hint="default" w:ascii="黑体" w:hAnsi="黑体" w:eastAsia="黑体" w:cs="黑体"/>
          <w:b w:val="0"/>
          <w:bCs w:val="0"/>
          <w:sz w:val="32"/>
          <w:szCs w:val="32"/>
          <w:lang w:eastAsia="zh-CN"/>
        </w:rPr>
        <w:t>六</w:t>
      </w:r>
      <w:r>
        <w:rPr>
          <w:rFonts w:hint="eastAsia" w:ascii="黑体" w:hAnsi="黑体" w:eastAsia="黑体" w:cs="黑体"/>
          <w:b w:val="0"/>
          <w:bCs w:val="0"/>
          <w:sz w:val="32"/>
          <w:szCs w:val="32"/>
          <w:lang w:val="en-US" w:eastAsia="zh-CN"/>
        </w:rPr>
        <w:t>章　附　则</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第十</w:t>
      </w:r>
      <w:r>
        <w:rPr>
          <w:rFonts w:hint="default" w:ascii="黑体" w:hAnsi="黑体" w:eastAsia="黑体" w:cs="黑体"/>
          <w:b w:val="0"/>
          <w:bCs w:val="0"/>
          <w:sz w:val="32"/>
          <w:szCs w:val="32"/>
          <w:lang w:eastAsia="zh-CN"/>
        </w:rPr>
        <w:t>四</w:t>
      </w:r>
      <w:r>
        <w:rPr>
          <w:rFonts w:hint="eastAsia" w:ascii="黑体" w:hAnsi="黑体" w:eastAsia="黑体" w:cs="黑体"/>
          <w:b w:val="0"/>
          <w:bCs w:val="0"/>
          <w:sz w:val="32"/>
          <w:szCs w:val="32"/>
          <w:lang w:val="en-US" w:eastAsia="zh-CN"/>
        </w:rPr>
        <w:t>条</w:t>
      </w:r>
      <w:r>
        <w:rPr>
          <w:rFonts w:hint="eastAsia" w:ascii="仿宋_GB2312" w:hAnsi="仿宋_GB2312" w:eastAsia="仿宋_GB2312" w:cs="仿宋_GB2312"/>
          <w:b w:val="0"/>
          <w:bCs w:val="0"/>
          <w:sz w:val="32"/>
          <w:szCs w:val="32"/>
          <w:lang w:val="en-US" w:eastAsia="zh-CN"/>
        </w:rPr>
        <w:t>　本办法由省人力资源社会保障厅负责解释。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黑体" w:hAnsi="黑体" w:eastAsia="黑体" w:cs="黑体"/>
          <w:b w:val="0"/>
          <w:bCs w:val="0"/>
          <w:sz w:val="32"/>
          <w:szCs w:val="32"/>
          <w:lang w:val="en-US" w:eastAsia="zh-CN"/>
        </w:rPr>
        <w:t>第十</w:t>
      </w:r>
      <w:r>
        <w:rPr>
          <w:rFonts w:hint="default" w:ascii="黑体" w:hAnsi="黑体" w:eastAsia="黑体" w:cs="黑体"/>
          <w:b w:val="0"/>
          <w:bCs w:val="0"/>
          <w:sz w:val="32"/>
          <w:szCs w:val="32"/>
          <w:lang w:eastAsia="zh-CN"/>
        </w:rPr>
        <w:t>五</w:t>
      </w:r>
      <w:r>
        <w:rPr>
          <w:rFonts w:hint="eastAsia" w:ascii="黑体" w:hAnsi="黑体" w:eastAsia="黑体" w:cs="黑体"/>
          <w:b w:val="0"/>
          <w:bCs w:val="0"/>
          <w:sz w:val="32"/>
          <w:szCs w:val="32"/>
          <w:lang w:val="en-US" w:eastAsia="zh-CN"/>
        </w:rPr>
        <w:t>条</w:t>
      </w:r>
      <w:r>
        <w:rPr>
          <w:rFonts w:hint="eastAsia" w:ascii="仿宋_GB2312" w:hAnsi="仿宋_GB2312" w:eastAsia="仿宋_GB2312" w:cs="仿宋_GB2312"/>
          <w:b w:val="0"/>
          <w:bCs w:val="0"/>
          <w:sz w:val="32"/>
          <w:szCs w:val="32"/>
          <w:lang w:val="en-US" w:eastAsia="zh-CN"/>
        </w:rPr>
        <w:t>　本办法自印发之日起施行。</w:t>
      </w:r>
    </w:p>
    <w:p>
      <w:pPr>
        <w:pStyle w:val="9"/>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1"/>
          <w:szCs w:val="21"/>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1"/>
          <w:szCs w:val="21"/>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1"/>
          <w:szCs w:val="21"/>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1"/>
          <w:szCs w:val="21"/>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1"/>
          <w:szCs w:val="21"/>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1"/>
          <w:szCs w:val="21"/>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1"/>
          <w:szCs w:val="21"/>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1"/>
          <w:szCs w:val="21"/>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1"/>
          <w:szCs w:val="21"/>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1"/>
          <w:szCs w:val="21"/>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1"/>
          <w:szCs w:val="21"/>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1"/>
          <w:szCs w:val="21"/>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1"/>
          <w:szCs w:val="21"/>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1"/>
          <w:szCs w:val="21"/>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1"/>
          <w:szCs w:val="21"/>
          <w:lang w:val="en-US" w:eastAsia="zh-CN"/>
        </w:rPr>
      </w:pPr>
    </w:p>
    <w:p>
      <w:pPr>
        <w:pStyle w:val="9"/>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1"/>
          <w:szCs w:val="21"/>
          <w:lang w:val="en-US" w:eastAsia="zh-CN"/>
        </w:rPr>
      </w:pPr>
    </w:p>
    <w:p>
      <w:pPr>
        <w:spacing w:line="600" w:lineRule="exact"/>
        <w:ind w:firstLine="280" w:firstLineChars="100"/>
        <w:jc w:val="left"/>
        <w:rPr>
          <w:rFonts w:ascii="仿宋_GB2312" w:hAnsi="仿宋" w:eastAsia="仿宋_GB2312"/>
          <w:color w:val="000000"/>
          <w:sz w:val="32"/>
          <w:szCs w:val="32"/>
        </w:rPr>
      </w:pPr>
      <w:r>
        <w:rPr>
          <w:rFonts w:ascii="仿宋_GB2312" w:hAnsi="仿宋" w:eastAsia="仿宋_GB2312"/>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99060</wp:posOffset>
                </wp:positionH>
                <wp:positionV relativeFrom="paragraph">
                  <wp:posOffset>66040</wp:posOffset>
                </wp:positionV>
                <wp:extent cx="533527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3527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7.8pt;margin-top:5.2pt;height:0pt;width:420.1pt;z-index:251658240;mso-width-relative:page;mso-height-relative:page;" filled="f" stroked="t" coordsize="21600,21600" o:gfxdata="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IZi4XTAAAACAEAAA8AAAAA&#10;AAAAAQAgAAAAIgAAAGRycy9kb3ducmV2LnhtbFBLAQIUABQAAAAIAIdO4kBsSct44AEAAKADAAAO&#10;AAAAAAAAAAEAIAAAACIBAABkcnMvZTJvRG9jLnhtbFBLBQYAAAAABgAGAFkBAAB0BQAAAAA=&#10;">
                <v:fill on="f" focussize="0,0"/>
                <v:stroke color="#000000" joinstyle="round"/>
                <v:imagedata o:title=""/>
                <o:lock v:ext="edit" aspectratio="f"/>
              </v:line>
            </w:pict>
          </mc:Fallback>
        </mc:AlternateContent>
      </w:r>
      <w:r>
        <w:rPr>
          <w:rFonts w:hint="eastAsia" w:ascii="仿宋_GB2312" w:hAnsi="仿宋" w:eastAsia="仿宋_GB2312"/>
          <w:color w:val="000000"/>
          <w:sz w:val="28"/>
          <w:szCs w:val="28"/>
        </w:rPr>
        <w:t xml:space="preserve">贵州省人力资源和社会保障厅办公室     </w:t>
      </w: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20</w:t>
      </w:r>
      <w:r>
        <w:rPr>
          <w:rFonts w:hint="eastAsia" w:ascii="仿宋_GB2312" w:hAnsi="仿宋" w:eastAsia="仿宋_GB2312"/>
          <w:color w:val="000000"/>
          <w:sz w:val="28"/>
          <w:szCs w:val="28"/>
          <w:lang w:val="en-US" w:eastAsia="zh-CN"/>
        </w:rPr>
        <w:t>21</w:t>
      </w:r>
      <w:r>
        <w:rPr>
          <w:rFonts w:hint="eastAsia" w:ascii="仿宋_GB2312" w:hAnsi="仿宋" w:eastAsia="仿宋_GB2312"/>
          <w:color w:val="000000"/>
          <w:sz w:val="28"/>
          <w:szCs w:val="28"/>
        </w:rPr>
        <w:t>年</w:t>
      </w:r>
      <w:r>
        <w:rPr>
          <w:rFonts w:hint="eastAsia" w:ascii="仿宋_GB2312" w:hAnsi="仿宋" w:eastAsia="仿宋_GB2312"/>
          <w:color w:val="000000"/>
          <w:sz w:val="28"/>
          <w:szCs w:val="28"/>
          <w:lang w:val="en-US" w:eastAsia="zh-CN"/>
        </w:rPr>
        <w:t>10</w:t>
      </w:r>
      <w:r>
        <w:rPr>
          <w:rFonts w:hint="eastAsia" w:ascii="仿宋_GB2312" w:hAnsi="仿宋" w:eastAsia="仿宋_GB2312"/>
          <w:color w:val="000000"/>
          <w:sz w:val="28"/>
          <w:szCs w:val="28"/>
        </w:rPr>
        <w:t>月</w:t>
      </w:r>
      <w:r>
        <w:rPr>
          <w:rFonts w:hint="eastAsia" w:ascii="仿宋_GB2312" w:hAnsi="仿宋" w:eastAsia="仿宋_GB2312"/>
          <w:color w:val="000000"/>
          <w:sz w:val="28"/>
          <w:szCs w:val="28"/>
          <w:lang w:val="en-US" w:eastAsia="zh-CN"/>
        </w:rPr>
        <w:t>26</w:t>
      </w:r>
      <w:r>
        <w:rPr>
          <w:rFonts w:hint="eastAsia" w:ascii="仿宋_GB2312" w:hAnsi="仿宋" w:eastAsia="仿宋_GB2312"/>
          <w:color w:val="000000"/>
          <w:sz w:val="28"/>
          <w:szCs w:val="28"/>
        </w:rPr>
        <w:t>日印发</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pPr>
      <w:r>
        <w:rPr>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92075</wp:posOffset>
                </wp:positionH>
                <wp:positionV relativeFrom="paragraph">
                  <wp:posOffset>24765</wp:posOffset>
                </wp:positionV>
                <wp:extent cx="533527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3527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7.25pt;margin-top:1.95pt;height:0pt;width:420.1pt;z-index:251659264;mso-width-relative:page;mso-height-relative:page;" filled="f" stroked="t" coordsize="21600,21600" o:gfxdata="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z7tCrTAAAABgEAAA8AAAAA&#10;AAAAAQAgAAAAIgAAAGRycy9kb3ducmV2LnhtbFBLAQIUABQAAAAIAIdO4kCnP1HQ4AEAAKADAAAO&#10;AAAAAAAAAAEAIAAAACIBAABkcnMvZTJvRG9jLnhtbFBLBQYAAAAABgAGAFkBAAB0BQAAAAA=&#10;">
                <v:fill on="f" focussize="0,0"/>
                <v:stroke color="#000000" joinstyle="round"/>
                <v:imagedata o:title=""/>
                <o:lock v:ext="edit" aspectratio="f"/>
              </v:line>
            </w:pict>
          </mc:Fallback>
        </mc:AlternateContent>
      </w:r>
      <w:r>
        <w:rPr>
          <w:rFonts w:hint="eastAsia"/>
          <w:color w:val="000000"/>
          <w:sz w:val="28"/>
          <w:szCs w:val="28"/>
        </w:rPr>
        <w:t xml:space="preserve">  </w:t>
      </w:r>
      <w:r>
        <w:rPr>
          <w:rFonts w:hint="eastAsia"/>
          <w:color w:val="000000"/>
          <w:spacing w:val="-1"/>
          <w:sz w:val="28"/>
          <w:szCs w:val="28"/>
        </w:rPr>
        <w:t xml:space="preserve">                                       </w:t>
      </w:r>
      <w:r>
        <w:rPr>
          <w:rFonts w:hint="eastAsia"/>
          <w:color w:val="000000"/>
          <w:spacing w:val="-1"/>
          <w:sz w:val="28"/>
          <w:szCs w:val="28"/>
          <w:lang w:val="en-US" w:eastAsia="zh-CN"/>
        </w:rPr>
        <w:t xml:space="preserve">  </w:t>
      </w:r>
      <w:r>
        <w:rPr>
          <w:rFonts w:hint="eastAsia"/>
          <w:color w:val="000000"/>
          <w:spacing w:val="-1"/>
          <w:sz w:val="28"/>
          <w:szCs w:val="28"/>
        </w:rPr>
        <w:t xml:space="preserve">   </w:t>
      </w:r>
      <w:r>
        <w:rPr>
          <w:rFonts w:hint="eastAsia"/>
          <w:color w:val="000000"/>
          <w:spacing w:val="-1"/>
          <w:sz w:val="28"/>
          <w:szCs w:val="28"/>
          <w:lang w:val="en-US" w:eastAsia="zh-CN"/>
        </w:rPr>
        <w:t xml:space="preserve">   </w:t>
      </w:r>
      <w:r>
        <w:rPr>
          <w:rFonts w:hint="eastAsia" w:ascii="仿宋_GB2312" w:eastAsia="仿宋_GB2312"/>
          <w:color w:val="000000"/>
          <w:spacing w:val="-1"/>
          <w:sz w:val="28"/>
          <w:szCs w:val="28"/>
        </w:rPr>
        <w:t>共印</w:t>
      </w:r>
      <w:r>
        <w:rPr>
          <w:rFonts w:hint="default" w:ascii="仿宋_GB2312" w:eastAsia="仿宋_GB2312"/>
          <w:color w:val="000000"/>
          <w:spacing w:val="-1"/>
          <w:sz w:val="28"/>
          <w:szCs w:val="28"/>
          <w:lang w:eastAsia="zh-CN"/>
        </w:rPr>
        <w:t>5</w:t>
      </w:r>
      <w:r>
        <w:rPr>
          <w:rFonts w:hint="eastAsia" w:ascii="仿宋_GB2312" w:eastAsia="仿宋_GB2312"/>
          <w:color w:val="000000"/>
          <w:spacing w:val="-1"/>
          <w:sz w:val="28"/>
          <w:szCs w:val="28"/>
        </w:rPr>
        <w:t>份</w:t>
      </w:r>
    </w:p>
    <w:sectPr>
      <w:footerReference r:id="rId3" w:type="default"/>
      <w:pgSz w:w="11906" w:h="16838"/>
      <w:pgMar w:top="2154" w:right="1474" w:bottom="1984"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-485775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- 9 -</w:t>
                          </w:r>
                          <w:r>
                            <w:rPr>
                              <w:rFonts w:hint="eastAsia" w:asciiTheme="minorEastAsia" w:hAnsi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8.25pt;height:144pt;width:144pt;mso-position-horizontal:outside;mso-position-horizontal-relative:margin;mso-wrap-style:none;z-index:251665408;mso-width-relative:page;mso-height-relative:page;" filled="f" stroked="f" coordsize="21600,21600" o:gfxdata="UEsDBAoAAAAAAIdO4kAAAAAAAAAAAAAAAAAEAAAAZHJzL1BLAwQUAAAACACHTuJAKJX69N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g8bjcgWF5lGV9OPKTp&#10;BmRZyOsC5S9QSwMEFAAAAAgAh07iQF7QmRUUAgAAEwQAAA4AAABkcnMvZTJvRG9jLnhtbK1TTY7T&#10;MBTeI3EHy3uatKi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9fT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lfr01gAAAAgBAAAPAAAAAAAA&#10;AAEAIAAAACIAAABkcnMvZG93bnJldi54bWxQSwECFAAUAAAACACHTuJAXtCZFRQCAAATBAAADgAA&#10;AAAAAAABACAAAAAlAQAAZHJzL2Uyb0RvYy54bWxQSwUGAAAAAAYABgBZAQAAqw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- 9 -</w:t>
                    </w:r>
                    <w:r>
                      <w:rPr>
                        <w:rFonts w:hint="eastAsia" w:asciiTheme="minorEastAsia" w:hAnsi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E1ED3"/>
    <w:rsid w:val="1B936FE6"/>
    <w:rsid w:val="207E672A"/>
    <w:rsid w:val="2F7D52EE"/>
    <w:rsid w:val="313A6A43"/>
    <w:rsid w:val="38FA2503"/>
    <w:rsid w:val="39A26E44"/>
    <w:rsid w:val="3A4E1ED3"/>
    <w:rsid w:val="47985EE4"/>
    <w:rsid w:val="7E282E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rPr>
      <w:rFonts w:ascii="Calibri" w:hAnsi="Calibri"/>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公1"/>
    <w:basedOn w:val="8"/>
    <w:next w:val="4"/>
    <w:qFormat/>
    <w:uiPriority w:val="0"/>
    <w:pPr>
      <w:ind w:firstLine="200" w:firstLineChars="200"/>
    </w:pPr>
    <w:rPr>
      <w:color w:val="000000"/>
    </w:rPr>
  </w:style>
  <w:style w:type="paragraph" w:customStyle="1" w:styleId="8">
    <w:name w:val="正文 New New New"/>
    <w:next w:val="7"/>
    <w:qFormat/>
    <w:uiPriority w:val="0"/>
    <w:pPr>
      <w:widowControl w:val="0"/>
      <w:jc w:val="both"/>
    </w:pPr>
    <w:rPr>
      <w:rFonts w:ascii="Calibri" w:hAnsi="Calibri" w:eastAsia="宋体" w:cs="黑体"/>
      <w:kern w:val="2"/>
      <w:sz w:val="21"/>
      <w:szCs w:val="24"/>
      <w:lang w:val="en-US" w:eastAsia="zh-CN" w:bidi="ar-SA"/>
    </w:rPr>
  </w:style>
  <w:style w:type="paragraph" w:customStyle="1" w:styleId="9">
    <w:name w:val="p16"/>
    <w:basedOn w:val="1"/>
    <w:qFormat/>
    <w:uiPriority w:val="0"/>
    <w:pPr>
      <w:widowControl/>
      <w:spacing w:before="100" w:beforeLines="0" w:after="100" w:afterLines="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2021-11-10T08:06:00Z</dcterms:created>
  <dc:creator>杨小婵</dc:creator>
  <cp:lastModifiedBy>杨小婵</cp:lastModifiedBy>
  <dcterms:modified xsi:type="dcterms:W3CDTF">2021-11-10T08:07:17Z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