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0" w:lineRule="atLeast"/>
        <w:jc w:val="both"/>
        <w:textAlignment w:val="center"/>
        <w:rPr>
          <w:rFonts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rPr>
        <w:t>附件1</w:t>
      </w:r>
    </w:p>
    <w:p>
      <w:pPr>
        <w:pStyle w:val="6"/>
        <w:widowControl w:val="0"/>
        <w:spacing w:after="0" w:line="0" w:lineRule="atLeast"/>
        <w:rPr>
          <w:b w:val="0"/>
          <w:bCs w:val="0"/>
        </w:rPr>
      </w:pPr>
    </w:p>
    <w:p>
      <w:pPr>
        <w:widowControl w:val="0"/>
        <w:spacing w:line="0" w:lineRule="atLeast"/>
        <w:jc w:val="center"/>
        <w:textAlignment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银行机构农民工工资金融服务质量评估细则</w:t>
      </w:r>
    </w:p>
    <w:tbl>
      <w:tblPr>
        <w:tblStyle w:val="12"/>
        <w:tblpPr w:leftFromText="180" w:rightFromText="180" w:vertAnchor="text" w:horzAnchor="page" w:tblpX="2256" w:tblpY="411"/>
        <w:tblOverlap w:val="never"/>
        <w:tblW w:w="12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871"/>
        <w:gridCol w:w="1318"/>
        <w:gridCol w:w="9238"/>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黑体" w:hAnsi="黑体" w:eastAsia="黑体" w:cs="黑体"/>
                <w:b w:val="0"/>
                <w:bCs w:val="0"/>
                <w:color w:val="000000"/>
                <w:sz w:val="22"/>
                <w:szCs w:val="22"/>
              </w:rPr>
            </w:pPr>
            <w:r>
              <w:rPr>
                <w:rFonts w:hint="eastAsia" w:ascii="黑体" w:hAnsi="黑体" w:eastAsia="黑体" w:cs="黑体"/>
                <w:b w:val="0"/>
                <w:bCs w:val="0"/>
                <w:color w:val="000000"/>
                <w:sz w:val="22"/>
                <w:szCs w:val="22"/>
                <w:lang w:bidi="ar"/>
              </w:rPr>
              <w:t>序号</w:t>
            </w:r>
          </w:p>
        </w:tc>
        <w:tc>
          <w:tcPr>
            <w:tcW w:w="87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黑体" w:hAnsi="黑体" w:eastAsia="黑体" w:cs="黑体"/>
                <w:b w:val="0"/>
                <w:bCs w:val="0"/>
                <w:color w:val="000000"/>
                <w:sz w:val="22"/>
                <w:szCs w:val="22"/>
              </w:rPr>
            </w:pPr>
            <w:r>
              <w:rPr>
                <w:rFonts w:hint="eastAsia" w:ascii="黑体" w:hAnsi="黑体" w:eastAsia="黑体" w:cs="黑体"/>
                <w:b w:val="0"/>
                <w:bCs w:val="0"/>
                <w:color w:val="000000"/>
                <w:sz w:val="22"/>
                <w:szCs w:val="22"/>
                <w:lang w:bidi="ar"/>
              </w:rPr>
              <w:t>评估类别</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hint="eastAsia" w:ascii="黑体" w:hAnsi="黑体" w:eastAsia="黑体" w:cs="黑体"/>
                <w:b w:val="0"/>
                <w:bCs w:val="0"/>
                <w:color w:val="000000"/>
                <w:sz w:val="22"/>
                <w:szCs w:val="22"/>
                <w:lang w:bidi="ar"/>
              </w:rPr>
            </w:pPr>
            <w:r>
              <w:rPr>
                <w:rFonts w:hint="eastAsia" w:ascii="黑体" w:hAnsi="黑体" w:eastAsia="黑体" w:cs="黑体"/>
                <w:b w:val="0"/>
                <w:bCs w:val="0"/>
                <w:color w:val="000000"/>
                <w:sz w:val="22"/>
                <w:szCs w:val="22"/>
                <w:lang w:bidi="ar"/>
              </w:rPr>
              <w:t>评估内容</w:t>
            </w:r>
          </w:p>
        </w:tc>
        <w:tc>
          <w:tcPr>
            <w:tcW w:w="923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黑体" w:hAnsi="黑体" w:eastAsia="黑体" w:cs="黑体"/>
                <w:b w:val="0"/>
                <w:bCs w:val="0"/>
                <w:color w:val="000000"/>
                <w:sz w:val="22"/>
                <w:szCs w:val="22"/>
              </w:rPr>
            </w:pPr>
            <w:r>
              <w:rPr>
                <w:rFonts w:hint="eastAsia" w:ascii="黑体" w:hAnsi="黑体" w:eastAsia="黑体" w:cs="黑体"/>
                <w:b w:val="0"/>
                <w:bCs w:val="0"/>
                <w:color w:val="000000"/>
                <w:sz w:val="22"/>
                <w:szCs w:val="22"/>
                <w:lang w:bidi="ar"/>
              </w:rPr>
              <w:t>评分说明</w:t>
            </w:r>
          </w:p>
        </w:tc>
        <w:tc>
          <w:tcPr>
            <w:tcW w:w="8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黑体" w:hAnsi="黑体" w:eastAsia="黑体" w:cs="黑体"/>
                <w:b w:val="0"/>
                <w:bCs w:val="0"/>
                <w:color w:val="000000"/>
                <w:sz w:val="22"/>
                <w:szCs w:val="22"/>
              </w:rPr>
            </w:pPr>
            <w:r>
              <w:rPr>
                <w:rFonts w:hint="eastAsia" w:ascii="黑体" w:hAnsi="黑体" w:eastAsia="黑体" w:cs="黑体"/>
                <w:b w:val="0"/>
                <w:bCs w:val="0"/>
                <w:color w:val="000000"/>
                <w:sz w:val="22"/>
                <w:szCs w:val="22"/>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1" w:hRule="atLeast"/>
        </w:trPr>
        <w:tc>
          <w:tcPr>
            <w:tcW w:w="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1</w:t>
            </w:r>
          </w:p>
        </w:tc>
        <w:tc>
          <w:tcPr>
            <w:tcW w:w="87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系统对接</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工资专户和工资保证金账户（保函）信息推送</w:t>
            </w:r>
          </w:p>
        </w:tc>
        <w:tc>
          <w:tcPr>
            <w:tcW w:w="923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已经接入贵州省劳动用工大数据综合服务平台（以下简称平台）的银行机构信息系统，未在要求的时限内按数据标准完成系统功能更新。（未推送数据标准之外的数据不作扣分）</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1、工资专户信息，每缺1项扣2分，扣完10分为止。</w:t>
            </w:r>
          </w:p>
          <w:p>
            <w:pPr>
              <w:keepNext w:val="0"/>
              <w:keepLines w:val="0"/>
              <w:pageBreakBefore w:val="0"/>
              <w:kinsoku/>
              <w:wordWrap/>
              <w:overflowPunct/>
              <w:topLinePunct w:val="0"/>
              <w:autoSpaceDE/>
              <w:autoSpaceDN/>
              <w:bidi w:val="0"/>
              <w:adjustRightInd/>
              <w:snapToGrid/>
              <w:spacing w:line="0" w:lineRule="atLeast"/>
              <w:ind w:firstLine="440" w:firstLineChars="200"/>
              <w:outlineLvl w:val="9"/>
              <w:rPr>
                <w:rFonts w:ascii="仿宋_GB2312" w:hAnsi="仿宋_GB2312" w:eastAsia="仿宋_GB2312" w:cs="仿宋_GB2312"/>
                <w:b w:val="0"/>
                <w:bCs w:val="0"/>
                <w:sz w:val="22"/>
                <w:szCs w:val="22"/>
                <w:lang w:val="en"/>
              </w:rPr>
            </w:pPr>
            <w:r>
              <w:rPr>
                <w:rFonts w:hint="eastAsia" w:ascii="仿宋_GB2312" w:hAnsi="仿宋_GB2312" w:eastAsia="仿宋_GB2312" w:cs="仿宋_GB2312"/>
                <w:b w:val="0"/>
                <w:bCs w:val="0"/>
                <w:color w:val="000000"/>
                <w:sz w:val="22"/>
                <w:szCs w:val="22"/>
                <w:lang w:bidi="ar"/>
              </w:rPr>
              <w:t>（1）工资专用账户信息（7项）：</w:t>
            </w:r>
            <w:r>
              <w:rPr>
                <w:rFonts w:hint="eastAsia" w:ascii="仿宋_GB2312" w:hAnsi="仿宋_GB2312" w:eastAsia="仿宋_GB2312" w:cs="仿宋_GB2312"/>
                <w:b w:val="0"/>
                <w:bCs w:val="0"/>
                <w:sz w:val="22"/>
                <w:szCs w:val="22"/>
              </w:rPr>
              <w:t>账户名称、银行账号、开户银行、开户</w:t>
            </w:r>
            <w:r>
              <w:rPr>
                <w:rFonts w:hint="eastAsia" w:ascii="仿宋_GB2312" w:hAnsi="仿宋_GB2312" w:eastAsia="仿宋_GB2312" w:cs="仿宋_GB2312"/>
                <w:b w:val="0"/>
                <w:bCs w:val="0"/>
                <w:sz w:val="22"/>
                <w:szCs w:val="22"/>
                <w:lang w:val="en"/>
              </w:rPr>
              <w:t>日期、</w:t>
            </w:r>
            <w:r>
              <w:rPr>
                <w:rFonts w:hint="eastAsia" w:ascii="仿宋_GB2312" w:hAnsi="仿宋_GB2312" w:eastAsia="仿宋_GB2312" w:cs="仿宋_GB2312"/>
                <w:b w:val="0"/>
                <w:bCs w:val="0"/>
                <w:sz w:val="22"/>
                <w:szCs w:val="22"/>
              </w:rPr>
              <w:t>账户状态、银行是否对账户设置特殊标识、账户注销</w:t>
            </w:r>
            <w:r>
              <w:rPr>
                <w:rFonts w:hint="eastAsia" w:ascii="仿宋_GB2312" w:hAnsi="仿宋_GB2312" w:eastAsia="仿宋_GB2312" w:cs="仿宋_GB2312"/>
                <w:b w:val="0"/>
                <w:bCs w:val="0"/>
                <w:sz w:val="22"/>
                <w:szCs w:val="22"/>
                <w:lang w:val="en"/>
              </w:rPr>
              <w:t>日期；</w:t>
            </w:r>
          </w:p>
          <w:p>
            <w:pPr>
              <w:keepNext w:val="0"/>
              <w:keepLines w:val="0"/>
              <w:pageBreakBefore w:val="0"/>
              <w:kinsoku/>
              <w:wordWrap/>
              <w:overflowPunct/>
              <w:topLinePunct w:val="0"/>
              <w:autoSpaceDE/>
              <w:autoSpaceDN/>
              <w:bidi w:val="0"/>
              <w:adjustRightInd/>
              <w:snapToGrid/>
              <w:spacing w:line="0" w:lineRule="atLeast"/>
              <w:ind w:firstLine="440" w:firstLineChars="200"/>
              <w:outlineLvl w:val="9"/>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lang w:val="en"/>
              </w:rPr>
              <w:t>（</w:t>
            </w:r>
            <w:r>
              <w:rPr>
                <w:rFonts w:hint="eastAsia" w:ascii="仿宋_GB2312" w:hAnsi="仿宋_GB2312" w:eastAsia="仿宋_GB2312" w:cs="仿宋_GB2312"/>
                <w:b w:val="0"/>
                <w:bCs w:val="0"/>
                <w:sz w:val="22"/>
                <w:szCs w:val="22"/>
              </w:rPr>
              <w:t>2</w:t>
            </w:r>
            <w:r>
              <w:rPr>
                <w:rFonts w:hint="eastAsia" w:ascii="仿宋_GB2312" w:hAnsi="仿宋_GB2312" w:eastAsia="仿宋_GB2312" w:cs="仿宋_GB2312"/>
                <w:b w:val="0"/>
                <w:bCs w:val="0"/>
                <w:sz w:val="22"/>
                <w:szCs w:val="22"/>
                <w:lang w:val="en"/>
              </w:rPr>
              <w:t>）工资专用账户收支信息（</w:t>
            </w:r>
            <w:r>
              <w:rPr>
                <w:rFonts w:hint="eastAsia" w:ascii="仿宋_GB2312" w:hAnsi="仿宋_GB2312" w:eastAsia="仿宋_GB2312" w:cs="仿宋_GB2312"/>
                <w:b w:val="0"/>
                <w:bCs w:val="0"/>
                <w:sz w:val="22"/>
                <w:szCs w:val="22"/>
              </w:rPr>
              <w:t>10项</w:t>
            </w:r>
            <w:r>
              <w:rPr>
                <w:rFonts w:hint="eastAsia" w:ascii="仿宋_GB2312" w:hAnsi="仿宋_GB2312" w:eastAsia="仿宋_GB2312" w:cs="仿宋_GB2312"/>
                <w:b w:val="0"/>
                <w:bCs w:val="0"/>
                <w:sz w:val="22"/>
                <w:szCs w:val="22"/>
                <w:lang w:val="en"/>
              </w:rPr>
              <w:t>）：</w:t>
            </w:r>
            <w:r>
              <w:rPr>
                <w:rFonts w:hint="eastAsia" w:ascii="仿宋_GB2312" w:hAnsi="仿宋_GB2312" w:eastAsia="仿宋_GB2312" w:cs="仿宋_GB2312"/>
                <w:b w:val="0"/>
                <w:bCs w:val="0"/>
                <w:sz w:val="22"/>
                <w:szCs w:val="22"/>
              </w:rPr>
              <w:t>银行流水号、收支类型、交易类型、账户名称、</w:t>
            </w:r>
          </w:p>
          <w:p>
            <w:pPr>
              <w:keepNext w:val="0"/>
              <w:keepLines w:val="0"/>
              <w:pageBreakBefore w:val="0"/>
              <w:kinsoku/>
              <w:wordWrap/>
              <w:overflowPunct/>
              <w:topLinePunct w:val="0"/>
              <w:autoSpaceDE/>
              <w:autoSpaceDN/>
              <w:bidi w:val="0"/>
              <w:adjustRightInd/>
              <w:snapToGrid/>
              <w:spacing w:line="0" w:lineRule="atLeast"/>
              <w:outlineLvl w:val="9"/>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银行账号、对方户名、对方账号、收支金额、收支日期、账户余额；</w:t>
            </w:r>
          </w:p>
          <w:p>
            <w:pPr>
              <w:keepNext w:val="0"/>
              <w:keepLines w:val="0"/>
              <w:pageBreakBefore w:val="0"/>
              <w:kinsoku/>
              <w:wordWrap/>
              <w:overflowPunct/>
              <w:topLinePunct w:val="0"/>
              <w:autoSpaceDE/>
              <w:autoSpaceDN/>
              <w:bidi w:val="0"/>
              <w:adjustRightInd/>
              <w:snapToGrid/>
              <w:spacing w:line="0" w:lineRule="atLeast"/>
              <w:ind w:firstLine="440" w:firstLineChars="200"/>
              <w:outlineLvl w:val="9"/>
              <w:rPr>
                <w:b w:val="0"/>
                <w:bCs w:val="0"/>
              </w:rPr>
            </w:pPr>
            <w:r>
              <w:rPr>
                <w:rFonts w:hint="eastAsia" w:ascii="仿宋_GB2312" w:hAnsi="仿宋_GB2312" w:eastAsia="仿宋_GB2312" w:cs="仿宋_GB2312"/>
                <w:b w:val="0"/>
                <w:bCs w:val="0"/>
                <w:sz w:val="22"/>
                <w:szCs w:val="22"/>
              </w:rPr>
              <w:t>（3）工资专用账户支付明细信息（8项）：银行账号、银行流水、务工人员姓名、务工人员公民身份号码、工资所属年月、当月应发工资、当月扣发工资、当月实发工资。</w:t>
            </w:r>
          </w:p>
          <w:p>
            <w:pPr>
              <w:keepNext w:val="0"/>
              <w:keepLines w:val="0"/>
              <w:pageBreakBefore w:val="0"/>
              <w:kinsoku/>
              <w:wordWrap/>
              <w:overflowPunct/>
              <w:topLinePunct w:val="0"/>
              <w:autoSpaceDE/>
              <w:autoSpaceDN/>
              <w:bidi w:val="0"/>
              <w:adjustRightInd/>
              <w:snapToGrid/>
              <w:spacing w:line="0" w:lineRule="atLeast"/>
              <w:ind w:firstLine="440" w:firstLineChars="200"/>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2、工资保证金信息，每缺1项扣2分，扣完10分为止。</w:t>
            </w:r>
          </w:p>
          <w:p>
            <w:pPr>
              <w:keepNext w:val="0"/>
              <w:keepLines w:val="0"/>
              <w:pageBreakBefore w:val="0"/>
              <w:kinsoku/>
              <w:wordWrap/>
              <w:overflowPunct/>
              <w:topLinePunct w:val="0"/>
              <w:autoSpaceDE/>
              <w:autoSpaceDN/>
              <w:bidi w:val="0"/>
              <w:adjustRightInd/>
              <w:snapToGrid/>
              <w:spacing w:line="0" w:lineRule="atLeast"/>
              <w:ind w:firstLine="440" w:firstLineChars="200"/>
              <w:outlineLvl w:val="9"/>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工资保证金账号收支信息（17项）：收支编号、收支类型、交易类型、缴存类型、缴存起始日期、已缴纳金额、收支方式、工资保证金开户银行、工资保证金银行账号、现金金额、担保银行名称、银行保函函号、银行保函担保金额、银行保函有效期起始日期、银行保函有效期终止日期、其他金额、收支时间；</w:t>
            </w:r>
          </w:p>
          <w:p>
            <w:pPr>
              <w:keepNext w:val="0"/>
              <w:keepLines w:val="0"/>
              <w:pageBreakBefore w:val="0"/>
              <w:kinsoku/>
              <w:wordWrap/>
              <w:overflowPunct/>
              <w:topLinePunct w:val="0"/>
              <w:autoSpaceDE/>
              <w:autoSpaceDN/>
              <w:bidi w:val="0"/>
              <w:adjustRightInd/>
              <w:snapToGrid/>
              <w:spacing w:line="0" w:lineRule="atLeast"/>
              <w:ind w:firstLine="440" w:firstLineChars="200"/>
              <w:outlineLvl w:val="9"/>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（2）工资保证金支付明细信息（7项）：收支编号、收支方式、保函单号、务工人员公民身份号码、务工人员姓名、工资支付金额、工资支付方式。</w:t>
            </w:r>
          </w:p>
        </w:tc>
        <w:tc>
          <w:tcPr>
            <w:tcW w:w="8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黑体" w:hAnsi="黑体" w:eastAsia="黑体" w:cs="黑体"/>
                <w:b w:val="0"/>
                <w:bCs w:val="0"/>
                <w:color w:val="000000"/>
                <w:sz w:val="22"/>
                <w:szCs w:val="22"/>
                <w:lang w:bidi="ar"/>
              </w:rPr>
              <w:t>序号</w:t>
            </w:r>
          </w:p>
        </w:tc>
        <w:tc>
          <w:tcPr>
            <w:tcW w:w="87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黑体" w:hAnsi="黑体" w:eastAsia="黑体" w:cs="黑体"/>
                <w:b w:val="0"/>
                <w:bCs w:val="0"/>
                <w:color w:val="000000"/>
                <w:sz w:val="22"/>
                <w:szCs w:val="22"/>
                <w:lang w:bidi="ar"/>
              </w:rPr>
              <w:t>评估类别</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hint="eastAsia" w:ascii="黑体" w:hAnsi="黑体" w:eastAsia="黑体" w:cs="黑体"/>
                <w:b w:val="0"/>
                <w:bCs w:val="0"/>
                <w:color w:val="000000"/>
                <w:sz w:val="22"/>
                <w:szCs w:val="22"/>
                <w:lang w:bidi="ar"/>
              </w:rPr>
            </w:pPr>
            <w:r>
              <w:rPr>
                <w:rFonts w:hint="eastAsia" w:ascii="黑体" w:hAnsi="黑体" w:eastAsia="黑体" w:cs="黑体"/>
                <w:b w:val="0"/>
                <w:bCs w:val="0"/>
                <w:color w:val="000000"/>
                <w:sz w:val="22"/>
                <w:szCs w:val="22"/>
                <w:lang w:bidi="ar"/>
              </w:rPr>
              <w:t>评估内容</w:t>
            </w:r>
          </w:p>
        </w:tc>
        <w:tc>
          <w:tcPr>
            <w:tcW w:w="923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sz w:val="22"/>
                <w:szCs w:val="22"/>
              </w:rPr>
            </w:pPr>
            <w:r>
              <w:rPr>
                <w:rFonts w:hint="eastAsia" w:ascii="黑体" w:hAnsi="黑体" w:eastAsia="黑体" w:cs="黑体"/>
                <w:b w:val="0"/>
                <w:bCs w:val="0"/>
                <w:color w:val="000000"/>
                <w:sz w:val="22"/>
                <w:szCs w:val="22"/>
                <w:lang w:bidi="ar"/>
              </w:rPr>
              <w:t>评分说明</w:t>
            </w:r>
          </w:p>
        </w:tc>
        <w:tc>
          <w:tcPr>
            <w:tcW w:w="8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黑体" w:hAnsi="黑体" w:eastAsia="黑体" w:cs="黑体"/>
                <w:b w:val="0"/>
                <w:bCs w:val="0"/>
                <w:color w:val="000000"/>
                <w:sz w:val="22"/>
                <w:szCs w:val="22"/>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2</w:t>
            </w:r>
          </w:p>
        </w:tc>
        <w:tc>
          <w:tcPr>
            <w:tcW w:w="871"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业务能力</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center"/>
              <w:outlineLvl w:val="9"/>
              <w:rPr>
                <w:rFonts w:hint="eastAsia"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工资专户</w:t>
            </w:r>
          </w:p>
          <w:p>
            <w:pPr>
              <w:keepNext w:val="0"/>
              <w:keepLines w:val="0"/>
              <w:pageBreakBefore w:val="0"/>
              <w:widowControl w:val="0"/>
              <w:kinsoku/>
              <w:wordWrap/>
              <w:overflowPunct/>
              <w:topLinePunct w:val="0"/>
              <w:autoSpaceDE/>
              <w:autoSpaceDN/>
              <w:bidi w:val="0"/>
              <w:adjustRightInd/>
              <w:snapToGrid/>
              <w:spacing w:line="0" w:lineRule="atLeast"/>
              <w:jc w:val="both"/>
              <w:textAlignment w:val="center"/>
              <w:outlineLvl w:val="9"/>
              <w:rPr>
                <w:rFonts w:hint="eastAsia"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开立、注销</w:t>
            </w:r>
          </w:p>
        </w:tc>
        <w:tc>
          <w:tcPr>
            <w:tcW w:w="923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1.施工总承包单位书面提交（含网上预约成功）农民工工资专用账户开立申请，超过5个工作日未完成专用账户开立的，每发现1个项目扣2分；</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2.已有专用账户下分别管理的工程施工合同额400万元以上且工期6个月以上项目超过20个的，每发现1个项目扣2分；</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3.工资专用账户命名不符合总包单位名称加工程建设项目名称后加“农民工工资专用账户”规定（可在三方协议中约定简称），每发现1个项目扣1分；</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4.违规为工程项目办理工资专户注销的，每发现1个项目扣2分；</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rFonts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sz w:val="22"/>
                <w:szCs w:val="22"/>
                <w:lang w:bidi="ar"/>
              </w:rPr>
              <w:t>5.不支持总包单位在已有专用账户下按项目分别管理，扣5分。</w:t>
            </w:r>
          </w:p>
        </w:tc>
        <w:tc>
          <w:tcPr>
            <w:tcW w:w="8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sz w:val="22"/>
                <w:szCs w:val="22"/>
                <w:lang w:bidi="ar"/>
              </w:rPr>
              <w:t>10</w:t>
            </w:r>
            <w:r>
              <w:rPr>
                <w:rFonts w:hint="eastAsia" w:ascii="仿宋_GB2312" w:hAnsi="仿宋_GB2312" w:eastAsia="仿宋_GB2312" w:cs="仿宋_GB2312"/>
                <w:b w:val="0"/>
                <w:bCs w:val="0"/>
                <w:color w:val="000000"/>
                <w:sz w:val="22"/>
                <w:szCs w:val="22"/>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3</w:t>
            </w:r>
          </w:p>
        </w:tc>
        <w:tc>
          <w:tcPr>
            <w:tcW w:w="871"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center"/>
              <w:outlineLvl w:val="9"/>
              <w:rPr>
                <w:rFonts w:hint="eastAsia"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银行线上</w:t>
            </w:r>
          </w:p>
          <w:p>
            <w:pPr>
              <w:keepNext w:val="0"/>
              <w:keepLines w:val="0"/>
              <w:pageBreakBefore w:val="0"/>
              <w:widowControl w:val="0"/>
              <w:kinsoku/>
              <w:wordWrap/>
              <w:overflowPunct/>
              <w:topLinePunct w:val="0"/>
              <w:autoSpaceDE/>
              <w:autoSpaceDN/>
              <w:bidi w:val="0"/>
              <w:adjustRightInd/>
              <w:snapToGrid/>
              <w:spacing w:line="0" w:lineRule="atLeast"/>
              <w:jc w:val="both"/>
              <w:textAlignment w:val="center"/>
              <w:outlineLvl w:val="9"/>
              <w:rPr>
                <w:rFonts w:hint="eastAsia"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代发工资</w:t>
            </w:r>
          </w:p>
        </w:tc>
        <w:tc>
          <w:tcPr>
            <w:tcW w:w="923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1.项目用于确认通过农民工工资专用账户发放工资的Ukey，金融机构发放指令</w:t>
            </w:r>
            <w:r>
              <w:rPr>
                <w:rFonts w:hint="eastAsia" w:ascii="仿宋_GB2312" w:hAnsi="仿宋_GB2312" w:eastAsia="仿宋_GB2312" w:cs="仿宋_GB2312"/>
                <w:b w:val="0"/>
                <w:bCs w:val="0"/>
                <w:color w:val="000000"/>
                <w:sz w:val="22"/>
                <w:szCs w:val="22"/>
                <w:lang w:eastAsia="zh-CN" w:bidi="ar"/>
              </w:rPr>
              <w:t>未</w:t>
            </w:r>
            <w:r>
              <w:rPr>
                <w:rFonts w:hint="eastAsia" w:ascii="仿宋_GB2312" w:hAnsi="仿宋_GB2312" w:eastAsia="仿宋_GB2312" w:cs="仿宋_GB2312"/>
                <w:b w:val="0"/>
                <w:bCs w:val="0"/>
                <w:color w:val="000000"/>
                <w:sz w:val="22"/>
                <w:szCs w:val="22"/>
                <w:lang w:bidi="ar"/>
              </w:rPr>
              <w:t>包含综合服务平台标识（通过平台制作提交工资清册即可获得该标识），扣5分；</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2.未经行业主管部门或人力资源社会保障部门同意，为工程项目提供线下代发工资服务，上传平台的工资支付流水数据与工资专用账户出账总额不一致的，每发现1个项目扣5分；</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3.跨行代发工资到账时间超过48小时，每发现1个项目扣1分；</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b w:val="0"/>
                <w:bCs w:val="0"/>
              </w:rPr>
            </w:pPr>
            <w:r>
              <w:rPr>
                <w:rFonts w:hint="eastAsia" w:ascii="仿宋_GB2312" w:hAnsi="仿宋_GB2312" w:eastAsia="仿宋_GB2312" w:cs="仿宋_GB2312"/>
                <w:b w:val="0"/>
                <w:bCs w:val="0"/>
                <w:color w:val="000000"/>
                <w:sz w:val="22"/>
                <w:szCs w:val="22"/>
                <w:lang w:bidi="ar"/>
              </w:rPr>
              <w:t>4.企业通过平台向金融机构提交工资代发清册，有关人员信息有误，其他信息正常人员工资未支付的；有误人员信息未逐条反馈企业的；企业3次及以上提交工资代发清册均未通过银行的，每发现1个项目扣2分。</w:t>
            </w:r>
          </w:p>
        </w:tc>
        <w:tc>
          <w:tcPr>
            <w:tcW w:w="8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color w:val="000000"/>
                <w:sz w:val="22"/>
                <w:szCs w:val="22"/>
                <w:lang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4</w:t>
            </w:r>
          </w:p>
        </w:tc>
        <w:tc>
          <w:tcPr>
            <w:tcW w:w="871"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center"/>
              <w:outlineLvl w:val="9"/>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000000"/>
                <w:sz w:val="22"/>
                <w:szCs w:val="22"/>
                <w:lang w:bidi="ar"/>
              </w:rPr>
              <w:t>工资保证金存储</w:t>
            </w:r>
            <w:r>
              <w:rPr>
                <w:rFonts w:hint="eastAsia" w:ascii="仿宋_GB2312" w:hAnsi="仿宋_GB2312" w:eastAsia="仿宋_GB2312" w:cs="仿宋_GB2312"/>
                <w:b w:val="0"/>
                <w:bCs w:val="0"/>
                <w:color w:val="000000"/>
                <w:sz w:val="22"/>
                <w:szCs w:val="22"/>
                <w:lang w:eastAsia="zh-CN" w:bidi="ar"/>
              </w:rPr>
              <w:t>、</w:t>
            </w:r>
            <w:r>
              <w:rPr>
                <w:rFonts w:hint="eastAsia" w:ascii="仿宋_GB2312" w:hAnsi="仿宋_GB2312" w:eastAsia="仿宋_GB2312" w:cs="仿宋_GB2312"/>
                <w:b w:val="0"/>
                <w:bCs w:val="0"/>
                <w:color w:val="000000"/>
                <w:sz w:val="22"/>
                <w:szCs w:val="22"/>
                <w:lang w:bidi="ar"/>
              </w:rPr>
              <w:t>退还</w:t>
            </w:r>
          </w:p>
        </w:tc>
        <w:tc>
          <w:tcPr>
            <w:tcW w:w="923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440" w:firstLineChars="200"/>
              <w:textAlignment w:val="center"/>
              <w:outlineLvl w:val="9"/>
              <w:rPr>
                <w:rFonts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sz w:val="22"/>
                <w:szCs w:val="22"/>
              </w:rPr>
              <w:t>1.受理工</w:t>
            </w:r>
            <w:r>
              <w:rPr>
                <w:rFonts w:hint="eastAsia" w:ascii="仿宋_GB2312" w:hAnsi="仿宋_GB2312" w:eastAsia="仿宋_GB2312" w:cs="仿宋_GB2312"/>
                <w:b w:val="0"/>
                <w:bCs w:val="0"/>
                <w:sz w:val="22"/>
                <w:szCs w:val="22"/>
              </w:rPr>
              <w:t>资保证金存储业务，超过5个工作日未</w:t>
            </w:r>
            <w:r>
              <w:rPr>
                <w:rFonts w:hint="eastAsia" w:ascii="仿宋_GB2312" w:hAnsi="仿宋_GB2312" w:eastAsia="仿宋_GB2312" w:cs="仿宋_GB2312"/>
                <w:b w:val="0"/>
                <w:bCs w:val="0"/>
                <w:color w:val="000000"/>
                <w:sz w:val="22"/>
                <w:szCs w:val="22"/>
              </w:rPr>
              <w:t>办理完成的</w:t>
            </w:r>
            <w:r>
              <w:rPr>
                <w:rFonts w:hint="eastAsia" w:ascii="仿宋_GB2312" w:hAnsi="仿宋_GB2312" w:eastAsia="仿宋_GB2312" w:cs="仿宋_GB2312"/>
                <w:b w:val="0"/>
                <w:bCs w:val="0"/>
                <w:sz w:val="22"/>
                <w:szCs w:val="22"/>
              </w:rPr>
              <w:t>，每发现1个项目扣1分；</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textAlignment w:val="center"/>
              <w:outlineLvl w:val="9"/>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2.保函有效期少于1年，或短于施工合同约定的竣工（交工、完工）日期后6个月，或短于施工合同期，每发现1个项目扣2分；</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rPr>
              <w:t>3.</w:t>
            </w:r>
            <w:r>
              <w:rPr>
                <w:rFonts w:hint="eastAsia" w:ascii="仿宋_GB2312" w:hAnsi="仿宋_GB2312" w:eastAsia="仿宋_GB2312" w:cs="仿宋_GB2312"/>
                <w:b w:val="0"/>
                <w:bCs w:val="0"/>
                <w:color w:val="000000"/>
                <w:sz w:val="22"/>
                <w:szCs w:val="22"/>
                <w:lang w:bidi="ar"/>
              </w:rPr>
              <w:t>违规解除工资保证金账户监管的，每发现1个项目扣</w:t>
            </w:r>
            <w:r>
              <w:rPr>
                <w:rFonts w:ascii="仿宋_GB2312" w:hAnsi="仿宋_GB2312" w:eastAsia="仿宋_GB2312" w:cs="仿宋_GB2312"/>
                <w:b w:val="0"/>
                <w:bCs w:val="0"/>
                <w:color w:val="000000"/>
                <w:sz w:val="22"/>
                <w:szCs w:val="22"/>
                <w:lang w:bidi="ar"/>
              </w:rPr>
              <w:t>5</w:t>
            </w:r>
            <w:r>
              <w:rPr>
                <w:rFonts w:hint="eastAsia" w:ascii="仿宋_GB2312" w:hAnsi="仿宋_GB2312" w:eastAsia="仿宋_GB2312" w:cs="仿宋_GB2312"/>
                <w:b w:val="0"/>
                <w:bCs w:val="0"/>
                <w:color w:val="000000"/>
                <w:sz w:val="22"/>
                <w:szCs w:val="22"/>
                <w:lang w:bidi="ar"/>
              </w:rPr>
              <w:t>分</w:t>
            </w:r>
            <w:r>
              <w:rPr>
                <w:rFonts w:hint="eastAsia" w:ascii="仿宋_GB2312" w:hAnsi="仿宋_GB2312" w:eastAsia="仿宋_GB2312" w:cs="仿宋_GB2312"/>
                <w:b w:val="0"/>
                <w:bCs w:val="0"/>
                <w:color w:val="000000"/>
                <w:sz w:val="22"/>
                <w:szCs w:val="22"/>
              </w:rPr>
              <w:t>。</w:t>
            </w:r>
          </w:p>
        </w:tc>
        <w:tc>
          <w:tcPr>
            <w:tcW w:w="8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sz w:val="22"/>
                <w:szCs w:val="22"/>
                <w:lang w:bidi="ar"/>
              </w:rPr>
              <w:t>10</w:t>
            </w:r>
            <w:r>
              <w:rPr>
                <w:rFonts w:hint="eastAsia" w:ascii="仿宋_GB2312" w:hAnsi="仿宋_GB2312" w:eastAsia="仿宋_GB2312" w:cs="仿宋_GB2312"/>
                <w:b w:val="0"/>
                <w:bCs w:val="0"/>
                <w:color w:val="000000"/>
                <w:sz w:val="22"/>
                <w:szCs w:val="22"/>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黑体" w:hAnsi="黑体" w:eastAsia="黑体" w:cs="黑体"/>
                <w:b w:val="0"/>
                <w:bCs w:val="0"/>
                <w:color w:val="000000"/>
                <w:sz w:val="22"/>
                <w:szCs w:val="22"/>
                <w:lang w:bidi="ar"/>
              </w:rPr>
              <w:t>序号</w:t>
            </w:r>
          </w:p>
        </w:tc>
        <w:tc>
          <w:tcPr>
            <w:tcW w:w="87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rPr>
            </w:pPr>
            <w:r>
              <w:rPr>
                <w:rFonts w:hint="eastAsia" w:ascii="黑体" w:hAnsi="黑体" w:eastAsia="黑体" w:cs="黑体"/>
                <w:b w:val="0"/>
                <w:bCs w:val="0"/>
                <w:color w:val="000000"/>
                <w:sz w:val="22"/>
                <w:szCs w:val="22"/>
                <w:lang w:bidi="ar"/>
              </w:rPr>
              <w:t>评估类别</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hint="eastAsia" w:ascii="黑体" w:hAnsi="黑体" w:eastAsia="黑体" w:cs="黑体"/>
                <w:b w:val="0"/>
                <w:bCs w:val="0"/>
                <w:color w:val="000000"/>
                <w:sz w:val="22"/>
                <w:szCs w:val="22"/>
                <w:lang w:bidi="ar"/>
              </w:rPr>
            </w:pPr>
            <w:r>
              <w:rPr>
                <w:rFonts w:hint="eastAsia" w:ascii="黑体" w:hAnsi="黑体" w:eastAsia="黑体" w:cs="黑体"/>
                <w:b w:val="0"/>
                <w:bCs w:val="0"/>
                <w:color w:val="000000"/>
                <w:sz w:val="22"/>
                <w:szCs w:val="22"/>
                <w:lang w:bidi="ar"/>
              </w:rPr>
              <w:t>评估内容</w:t>
            </w:r>
          </w:p>
        </w:tc>
        <w:tc>
          <w:tcPr>
            <w:tcW w:w="923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sz w:val="22"/>
                <w:szCs w:val="22"/>
              </w:rPr>
            </w:pPr>
            <w:r>
              <w:rPr>
                <w:rFonts w:hint="eastAsia" w:ascii="黑体" w:hAnsi="黑体" w:eastAsia="黑体" w:cs="黑体"/>
                <w:b w:val="0"/>
                <w:bCs w:val="0"/>
                <w:color w:val="000000"/>
                <w:sz w:val="22"/>
                <w:szCs w:val="22"/>
                <w:lang w:bidi="ar"/>
              </w:rPr>
              <w:t>评分说明</w:t>
            </w:r>
          </w:p>
        </w:tc>
        <w:tc>
          <w:tcPr>
            <w:tcW w:w="8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黑体" w:hAnsi="黑体" w:eastAsia="黑体" w:cs="黑体"/>
                <w:b w:val="0"/>
                <w:bCs w:val="0"/>
                <w:color w:val="000000"/>
                <w:sz w:val="22"/>
                <w:szCs w:val="22"/>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5</w:t>
            </w:r>
          </w:p>
        </w:tc>
        <w:tc>
          <w:tcPr>
            <w:tcW w:w="871"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000000"/>
                <w:sz w:val="22"/>
                <w:szCs w:val="22"/>
              </w:rPr>
              <w:t>服务能力</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b w:val="0"/>
                <w:bCs w:val="0"/>
                <w:sz w:val="22"/>
                <w:szCs w:val="22"/>
              </w:rPr>
            </w:pP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b w:val="0"/>
                <w:bCs w:val="0"/>
                <w:sz w:val="22"/>
                <w:szCs w:val="22"/>
              </w:rPr>
            </w:pP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b w:val="0"/>
                <w:bCs w:val="0"/>
                <w:sz w:val="22"/>
                <w:szCs w:val="22"/>
              </w:rPr>
            </w:pP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sz w:val="22"/>
                <w:szCs w:val="22"/>
              </w:rPr>
              <w:t>资金监管</w:t>
            </w: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b w:val="0"/>
                <w:bCs w:val="0"/>
                <w:sz w:val="22"/>
                <w:szCs w:val="22"/>
              </w:rPr>
            </w:pPr>
          </w:p>
          <w:p>
            <w:pPr>
              <w:keepNext w:val="0"/>
              <w:keepLines w:val="0"/>
              <w:pageBreakBefore w:val="0"/>
              <w:kinsoku/>
              <w:wordWrap/>
              <w:overflowPunct/>
              <w:topLinePunct w:val="0"/>
              <w:autoSpaceDE/>
              <w:autoSpaceDN/>
              <w:bidi w:val="0"/>
              <w:adjustRightInd/>
              <w:snapToGrid/>
              <w:spacing w:line="0" w:lineRule="atLeast"/>
              <w:jc w:val="center"/>
              <w:outlineLvl w:val="9"/>
              <w:rPr>
                <w:rFonts w:hint="eastAsia" w:ascii="仿宋_GB2312" w:hAnsi="仿宋_GB2312" w:eastAsia="仿宋_GB2312" w:cs="仿宋_GB2312"/>
                <w:b w:val="0"/>
                <w:bCs w:val="0"/>
                <w:sz w:val="22"/>
                <w:szCs w:val="22"/>
              </w:rPr>
            </w:pPr>
          </w:p>
        </w:tc>
        <w:tc>
          <w:tcPr>
            <w:tcW w:w="923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sz w:val="22"/>
                <w:szCs w:val="22"/>
              </w:rPr>
              <w:t xml:space="preserve">    </w:t>
            </w:r>
            <w:r>
              <w:rPr>
                <w:rFonts w:hint="eastAsia" w:ascii="仿宋_GB2312" w:hAnsi="仿宋_GB2312" w:eastAsia="仿宋_GB2312" w:cs="仿宋_GB2312"/>
                <w:b w:val="0"/>
                <w:bCs w:val="0"/>
                <w:color w:val="000000"/>
                <w:sz w:val="22"/>
                <w:szCs w:val="22"/>
                <w:lang w:bidi="ar"/>
              </w:rPr>
              <w:t>1.对单人单月工资支付超过5万元的情况，未及时报告行业主管部门或者人力资源社会保障部门的，每发现1次扣1分；</w:t>
            </w:r>
          </w:p>
          <w:p>
            <w:pPr>
              <w:keepNext w:val="0"/>
              <w:keepLines w:val="0"/>
              <w:pageBreakBefore w:val="0"/>
              <w:widowControl w:val="0"/>
              <w:kinsoku/>
              <w:wordWrap/>
              <w:overflowPunct/>
              <w:topLinePunct w:val="0"/>
              <w:autoSpaceDE/>
              <w:autoSpaceDN/>
              <w:bidi w:val="0"/>
              <w:adjustRightInd/>
              <w:snapToGrid/>
              <w:spacing w:line="0" w:lineRule="atLeast"/>
              <w:jc w:val="both"/>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 xml:space="preserve">    2.在工资保证金账户被监管期间，为工资专用账户提供现金支取和其他转账结算服务，每发现1次扣10分； </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rFonts w:ascii="仿宋_GB2312" w:hAnsi="仿宋_GB2312" w:eastAsia="仿宋_GB2312" w:cs="仿宋_GB2312"/>
                <w:b w:val="0"/>
                <w:bCs w:val="0"/>
                <w:color w:val="000000"/>
                <w:sz w:val="22"/>
                <w:szCs w:val="22"/>
                <w:lang w:bidi="ar"/>
              </w:rPr>
            </w:pPr>
            <w:r>
              <w:rPr>
                <w:rFonts w:ascii="仿宋_GB2312" w:hAnsi="仿宋_GB2312" w:eastAsia="仿宋_GB2312" w:cs="仿宋_GB2312"/>
                <w:b w:val="0"/>
                <w:bCs w:val="0"/>
                <w:color w:val="000000"/>
                <w:sz w:val="22"/>
                <w:szCs w:val="22"/>
                <w:lang w:bidi="ar"/>
              </w:rPr>
              <w:t>3</w:t>
            </w:r>
            <w:r>
              <w:rPr>
                <w:rFonts w:hint="eastAsia" w:ascii="仿宋_GB2312" w:hAnsi="仿宋_GB2312" w:eastAsia="仿宋_GB2312" w:cs="仿宋_GB2312"/>
                <w:b w:val="0"/>
                <w:bCs w:val="0"/>
                <w:color w:val="000000"/>
                <w:sz w:val="22"/>
                <w:szCs w:val="22"/>
                <w:lang w:bidi="ar"/>
              </w:rPr>
              <w:t>.通过工资专户对未进行实名制登记的农民工发放工资，并经核查该农民工未在该项目务工的，每发现一人扣1分；</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rFonts w:ascii="仿宋_GB2312" w:hAnsi="仿宋_GB2312" w:eastAsia="仿宋_GB2312" w:cs="仿宋_GB2312"/>
                <w:b w:val="0"/>
                <w:bCs w:val="0"/>
                <w:color w:val="000000"/>
                <w:sz w:val="22"/>
                <w:szCs w:val="22"/>
                <w:lang w:bidi="ar"/>
              </w:rPr>
            </w:pPr>
            <w:r>
              <w:rPr>
                <w:rFonts w:ascii="仿宋_GB2312" w:hAnsi="仿宋_GB2312" w:eastAsia="仿宋_GB2312" w:cs="仿宋_GB2312"/>
                <w:b w:val="0"/>
                <w:bCs w:val="0"/>
                <w:color w:val="000000"/>
                <w:sz w:val="22"/>
                <w:szCs w:val="22"/>
                <w:lang w:bidi="ar"/>
              </w:rPr>
              <w:t>4</w:t>
            </w:r>
            <w:r>
              <w:rPr>
                <w:rFonts w:hint="eastAsia" w:ascii="仿宋_GB2312" w:hAnsi="仿宋_GB2312" w:eastAsia="仿宋_GB2312" w:cs="仿宋_GB2312"/>
                <w:b w:val="0"/>
                <w:bCs w:val="0"/>
                <w:color w:val="000000"/>
                <w:sz w:val="22"/>
                <w:szCs w:val="22"/>
                <w:lang w:bidi="ar"/>
              </w:rPr>
              <w:t>.未采取有效措施防范本机构农民工工资卡被用于出租、出售、洗钱、赌博、诈骗和其他非法活动，扣10分；</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rFonts w:ascii="仿宋_GB2312" w:hAnsi="仿宋_GB2312" w:eastAsia="仿宋_GB2312" w:cs="仿宋_GB2312"/>
                <w:b w:val="0"/>
                <w:bCs w:val="0"/>
                <w:color w:val="000000"/>
                <w:sz w:val="22"/>
                <w:szCs w:val="22"/>
                <w:lang w:bidi="ar"/>
              </w:rPr>
            </w:pPr>
            <w:r>
              <w:rPr>
                <w:rFonts w:ascii="仿宋_GB2312" w:hAnsi="仿宋_GB2312" w:eastAsia="仿宋_GB2312" w:cs="仿宋_GB2312"/>
                <w:b w:val="0"/>
                <w:bCs w:val="0"/>
                <w:color w:val="000000"/>
                <w:sz w:val="22"/>
                <w:szCs w:val="22"/>
                <w:lang w:bidi="ar"/>
              </w:rPr>
              <w:t>5</w:t>
            </w:r>
            <w:r>
              <w:rPr>
                <w:rFonts w:hint="eastAsia" w:ascii="仿宋_GB2312" w:hAnsi="仿宋_GB2312" w:eastAsia="仿宋_GB2312" w:cs="仿宋_GB2312"/>
                <w:b w:val="0"/>
                <w:bCs w:val="0"/>
                <w:color w:val="000000"/>
                <w:sz w:val="22"/>
                <w:szCs w:val="22"/>
                <w:lang w:bidi="ar"/>
              </w:rPr>
              <w:t>.本机构开设的农民工工资专用账户、工资保证金账户被查封、冻结或者划拨的，每发现1个项目扣5分。</w:t>
            </w:r>
          </w:p>
        </w:tc>
        <w:tc>
          <w:tcPr>
            <w:tcW w:w="8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6</w:t>
            </w:r>
          </w:p>
        </w:tc>
        <w:tc>
          <w:tcPr>
            <w:tcW w:w="871"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rPr>
            </w:pP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000000"/>
                <w:sz w:val="22"/>
                <w:szCs w:val="22"/>
              </w:rPr>
              <w:t>工资</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000000"/>
                <w:sz w:val="22"/>
                <w:szCs w:val="22"/>
              </w:rPr>
              <w:t>“一卡通”</w:t>
            </w:r>
          </w:p>
        </w:tc>
        <w:tc>
          <w:tcPr>
            <w:tcW w:w="923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1.金融机构不支持农民工使用本人具有金融功能的社会保障卡或者现有银行卡领取工资；或者拒绝其使用他行社会保障卡银行账户或他行银行卡的；或者农民工使用他行社会保障卡银行账户或他行银行卡的，金融机构未执行优惠的跨行代发工资手续费率，每发现一次扣5分；</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2.金融机构强制要求农民工重新办理工资卡的，扣10分。</w:t>
            </w:r>
          </w:p>
        </w:tc>
        <w:tc>
          <w:tcPr>
            <w:tcW w:w="8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000000"/>
                <w:sz w:val="22"/>
                <w:szCs w:val="22"/>
                <w:lang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7</w:t>
            </w:r>
          </w:p>
        </w:tc>
        <w:tc>
          <w:tcPr>
            <w:tcW w:w="871"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000000"/>
                <w:sz w:val="22"/>
                <w:szCs w:val="22"/>
              </w:rPr>
              <w:t>风险防控</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000000"/>
                <w:sz w:val="22"/>
                <w:szCs w:val="22"/>
              </w:rPr>
              <w:t>配合处理</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000000"/>
                <w:sz w:val="22"/>
                <w:szCs w:val="22"/>
              </w:rPr>
              <w:t>欠薪案件</w:t>
            </w:r>
          </w:p>
        </w:tc>
        <w:tc>
          <w:tcPr>
            <w:tcW w:w="923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440" w:firstLineChars="200"/>
              <w:textAlignment w:val="center"/>
              <w:outlineLvl w:val="9"/>
              <w:rPr>
                <w:rFonts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000000"/>
                <w:sz w:val="22"/>
                <w:szCs w:val="22"/>
              </w:rPr>
              <w:t>1.不配合人力资源社会保障行政部门依法查询相关单位金融账户，扣10分；</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textAlignment w:val="center"/>
              <w:outlineLvl w:val="9"/>
              <w:rPr>
                <w:rFonts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sz w:val="22"/>
                <w:szCs w:val="22"/>
              </w:rPr>
              <w:t>2.未按照人力资源社会保障部门见索即付等要求动用工资保证金（保函），每发现一次扣10分。</w:t>
            </w:r>
          </w:p>
        </w:tc>
        <w:tc>
          <w:tcPr>
            <w:tcW w:w="8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000000"/>
                <w:sz w:val="22"/>
                <w:szCs w:val="22"/>
              </w:rPr>
              <w:t>8</w:t>
            </w:r>
          </w:p>
        </w:tc>
        <w:tc>
          <w:tcPr>
            <w:tcW w:w="871"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rPr>
            </w:pP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000000"/>
                <w:sz w:val="22"/>
                <w:szCs w:val="22"/>
              </w:rPr>
              <w:t>负面影响</w:t>
            </w:r>
          </w:p>
        </w:tc>
        <w:tc>
          <w:tcPr>
            <w:tcW w:w="923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440" w:firstLineChars="200"/>
              <w:textAlignment w:val="center"/>
              <w:outlineLvl w:val="9"/>
              <w:rPr>
                <w:rFonts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000000"/>
                <w:sz w:val="22"/>
                <w:szCs w:val="22"/>
              </w:rPr>
              <w:t>未落实政策规定或因工作失误，有关问题</w:t>
            </w:r>
            <w:r>
              <w:rPr>
                <w:rFonts w:hint="eastAsia" w:ascii="仿宋_GB2312" w:hAnsi="仿宋_GB2312" w:eastAsia="仿宋_GB2312" w:cs="仿宋_GB2312"/>
                <w:b w:val="0"/>
                <w:bCs w:val="0"/>
                <w:sz w:val="22"/>
                <w:szCs w:val="22"/>
              </w:rPr>
              <w:t>被省级及以上新闻媒体报道或被国家有关部门通报批评的，或者相关舆论信息在网络传播造成负面影响的，扣10分。</w:t>
            </w:r>
          </w:p>
        </w:tc>
        <w:tc>
          <w:tcPr>
            <w:tcW w:w="8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3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000000"/>
                <w:sz w:val="22"/>
                <w:szCs w:val="22"/>
              </w:rPr>
              <w:t>9</w:t>
            </w:r>
          </w:p>
        </w:tc>
        <w:tc>
          <w:tcPr>
            <w:tcW w:w="2189" w:type="dxa"/>
            <w:gridSpan w:val="2"/>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000000"/>
                <w:sz w:val="22"/>
                <w:szCs w:val="22"/>
              </w:rPr>
              <w:t>加分项</w:t>
            </w:r>
          </w:p>
        </w:tc>
        <w:tc>
          <w:tcPr>
            <w:tcW w:w="923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440" w:firstLineChars="200"/>
              <w:textAlignment w:val="center"/>
              <w:outlineLvl w:val="9"/>
              <w:rPr>
                <w:rFonts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000000"/>
                <w:sz w:val="22"/>
                <w:szCs w:val="22"/>
              </w:rPr>
              <w:t>平台功能每次调整后（以平台书面通知、或公示公告为准），最先实现</w:t>
            </w:r>
            <w:r>
              <w:rPr>
                <w:rFonts w:hint="eastAsia" w:ascii="仿宋_GB2312" w:hAnsi="仿宋_GB2312" w:eastAsia="仿宋_GB2312" w:cs="仿宋_GB2312"/>
                <w:b w:val="0"/>
                <w:bCs w:val="0"/>
                <w:color w:val="000000"/>
                <w:sz w:val="22"/>
                <w:szCs w:val="22"/>
                <w:lang w:eastAsia="zh-CN"/>
              </w:rPr>
              <w:t>系统功能</w:t>
            </w:r>
            <w:r>
              <w:rPr>
                <w:rFonts w:hint="eastAsia" w:ascii="仿宋_GB2312" w:hAnsi="仿宋_GB2312" w:eastAsia="仿宋_GB2312" w:cs="仿宋_GB2312"/>
                <w:b w:val="0"/>
                <w:bCs w:val="0"/>
                <w:color w:val="000000"/>
                <w:sz w:val="22"/>
                <w:szCs w:val="22"/>
              </w:rPr>
              <w:t>的3家银行金融机构各加5分。</w:t>
            </w:r>
          </w:p>
        </w:tc>
        <w:tc>
          <w:tcPr>
            <w:tcW w:w="8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746" w:type="dxa"/>
            <w:gridSpan w:val="5"/>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center"/>
              <w:outlineLvl w:val="9"/>
              <w:rPr>
                <w:rFonts w:ascii="仿宋_GB2312" w:hAnsi="仿宋_GB2312" w:eastAsia="仿宋_GB2312" w:cs="仿宋_GB2312"/>
                <w:b w:val="0"/>
                <w:bCs w:val="0"/>
                <w:color w:val="000000"/>
                <w:sz w:val="22"/>
                <w:szCs w:val="22"/>
                <w:lang w:bidi="ar"/>
              </w:rPr>
            </w:pPr>
            <w:r>
              <w:rPr>
                <w:rFonts w:hint="eastAsia" w:ascii="黑体" w:hAnsi="黑体" w:eastAsia="黑体" w:cs="黑体"/>
                <w:b w:val="0"/>
                <w:bCs w:val="0"/>
                <w:color w:val="000000"/>
                <w:sz w:val="22"/>
                <w:szCs w:val="22"/>
              </w:rPr>
              <w:t>说明</w:t>
            </w:r>
            <w:r>
              <w:rPr>
                <w:rFonts w:hint="eastAsia" w:ascii="仿宋" w:hAnsi="仿宋" w:eastAsia="仿宋" w:cs="仿宋"/>
                <w:b w:val="0"/>
                <w:bCs w:val="0"/>
                <w:color w:val="000000"/>
                <w:sz w:val="22"/>
                <w:szCs w:val="22"/>
                <w:lang w:eastAsia="zh-CN"/>
              </w:rPr>
              <w:t>：</w:t>
            </w:r>
            <w:r>
              <w:rPr>
                <w:rFonts w:hint="eastAsia" w:ascii="仿宋_GB2312" w:hAnsi="仿宋_GB2312" w:eastAsia="仿宋_GB2312" w:cs="仿宋_GB2312"/>
                <w:b w:val="0"/>
                <w:bCs w:val="0"/>
                <w:color w:val="000000"/>
                <w:sz w:val="22"/>
                <w:szCs w:val="22"/>
                <w:lang w:bidi="ar"/>
              </w:rPr>
              <w:t>1.评估结果为优秀（90分以上），合格（80分—90分），不合格（80分以下）；</w:t>
            </w:r>
          </w:p>
          <w:p>
            <w:pPr>
              <w:keepNext w:val="0"/>
              <w:keepLines w:val="0"/>
              <w:pageBreakBefore w:val="0"/>
              <w:widowControl w:val="0"/>
              <w:kinsoku/>
              <w:wordWrap/>
              <w:overflowPunct/>
              <w:topLinePunct w:val="0"/>
              <w:autoSpaceDE/>
              <w:autoSpaceDN/>
              <w:bidi w:val="0"/>
              <w:adjustRightInd/>
              <w:snapToGrid/>
              <w:spacing w:line="0" w:lineRule="atLeast"/>
              <w:ind w:firstLine="660" w:firstLineChars="300"/>
              <w:textAlignment w:val="center"/>
              <w:outlineLvl w:val="9"/>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2.省劳动用工大数据综合服务平台尚在开发的功能涉及的问题不扣分；</w:t>
            </w:r>
          </w:p>
          <w:p>
            <w:pPr>
              <w:keepNext w:val="0"/>
              <w:keepLines w:val="0"/>
              <w:pageBreakBefore w:val="0"/>
              <w:widowControl w:val="0"/>
              <w:kinsoku/>
              <w:wordWrap/>
              <w:overflowPunct/>
              <w:topLinePunct w:val="0"/>
              <w:autoSpaceDE/>
              <w:autoSpaceDN/>
              <w:bidi w:val="0"/>
              <w:adjustRightInd/>
              <w:snapToGrid/>
              <w:spacing w:line="0" w:lineRule="atLeast"/>
              <w:ind w:firstLine="660" w:firstLineChars="300"/>
              <w:textAlignment w:val="center"/>
              <w:outlineLvl w:val="9"/>
              <w:rPr>
                <w:b w:val="0"/>
                <w:bCs w:val="0"/>
              </w:rPr>
            </w:pPr>
            <w:r>
              <w:rPr>
                <w:rFonts w:hint="eastAsia" w:ascii="仿宋_GB2312" w:hAnsi="仿宋_GB2312" w:eastAsia="仿宋_GB2312" w:cs="仿宋_GB2312"/>
                <w:b w:val="0"/>
                <w:bCs w:val="0"/>
                <w:color w:val="000000"/>
                <w:sz w:val="22"/>
                <w:szCs w:val="22"/>
                <w:lang w:bidi="ar"/>
              </w:rPr>
              <w:t>3.评估结果超过100分的，按100分计。</w:t>
            </w:r>
          </w:p>
        </w:tc>
      </w:tr>
    </w:tbl>
    <w:p>
      <w:pPr>
        <w:widowControl w:val="0"/>
        <w:spacing w:line="0" w:lineRule="atLeast"/>
        <w:jc w:val="both"/>
        <w:textAlignment w:val="center"/>
        <w:rPr>
          <w:rFonts w:ascii="黑体" w:hAnsi="黑体" w:eastAsia="黑体" w:cs="黑体"/>
          <w:b w:val="0"/>
          <w:bCs w:val="0"/>
          <w:sz w:val="32"/>
          <w:szCs w:val="32"/>
        </w:rPr>
      </w:pPr>
      <w:r>
        <w:rPr>
          <w:rFonts w:hint="eastAsia" w:ascii="黑体" w:hAnsi="黑体" w:eastAsia="黑体" w:cs="黑体"/>
          <w:b w:val="0"/>
          <w:bCs w:val="0"/>
          <w:sz w:val="32"/>
          <w:szCs w:val="32"/>
        </w:rPr>
        <w:t>附件2</w:t>
      </w:r>
    </w:p>
    <w:p>
      <w:pPr>
        <w:pStyle w:val="6"/>
        <w:widowControl w:val="0"/>
        <w:spacing w:after="0" w:line="0" w:lineRule="atLeast"/>
        <w:rPr>
          <w:b w:val="0"/>
          <w:bCs w:val="0"/>
        </w:rPr>
      </w:pPr>
    </w:p>
    <w:p>
      <w:pPr>
        <w:widowControl w:val="0"/>
        <w:spacing w:line="0" w:lineRule="atLeast"/>
        <w:jc w:val="center"/>
        <w:textAlignment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保险机构农民工工资金融服务质量评估细则</w:t>
      </w:r>
    </w:p>
    <w:tbl>
      <w:tblPr>
        <w:tblStyle w:val="12"/>
        <w:tblpPr w:leftFromText="180" w:rightFromText="180" w:vertAnchor="text" w:horzAnchor="page" w:tblpX="2256" w:tblpY="411"/>
        <w:tblOverlap w:val="never"/>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34"/>
        <w:gridCol w:w="1652"/>
        <w:gridCol w:w="892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黑体" w:hAnsi="黑体" w:eastAsia="黑体" w:cs="黑体"/>
                <w:b w:val="0"/>
                <w:bCs w:val="0"/>
                <w:color w:val="000000"/>
                <w:sz w:val="22"/>
                <w:szCs w:val="22"/>
              </w:rPr>
            </w:pPr>
            <w:r>
              <w:rPr>
                <w:rFonts w:hint="eastAsia" w:ascii="黑体" w:hAnsi="黑体" w:eastAsia="黑体" w:cs="黑体"/>
                <w:b w:val="0"/>
                <w:bCs w:val="0"/>
                <w:color w:val="000000"/>
                <w:sz w:val="22"/>
                <w:szCs w:val="22"/>
                <w:lang w:bidi="ar"/>
              </w:rPr>
              <w:t>序号</w:t>
            </w:r>
          </w:p>
        </w:tc>
        <w:tc>
          <w:tcPr>
            <w:tcW w:w="83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hint="eastAsia" w:ascii="黑体" w:hAnsi="黑体" w:eastAsia="黑体" w:cs="黑体"/>
                <w:b w:val="0"/>
                <w:bCs w:val="0"/>
                <w:color w:val="000000"/>
                <w:sz w:val="22"/>
                <w:szCs w:val="22"/>
                <w:lang w:bidi="ar"/>
              </w:rPr>
            </w:pPr>
            <w:r>
              <w:rPr>
                <w:rFonts w:hint="eastAsia" w:ascii="黑体" w:hAnsi="黑体" w:eastAsia="黑体" w:cs="黑体"/>
                <w:b w:val="0"/>
                <w:bCs w:val="0"/>
                <w:color w:val="000000"/>
                <w:sz w:val="22"/>
                <w:szCs w:val="22"/>
                <w:lang w:bidi="ar"/>
              </w:rPr>
              <w:t>评估类别</w:t>
            </w:r>
          </w:p>
        </w:tc>
        <w:tc>
          <w:tcPr>
            <w:tcW w:w="165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ascii="黑体" w:hAnsi="黑体" w:eastAsia="黑体" w:cs="黑体"/>
                <w:b w:val="0"/>
                <w:bCs w:val="0"/>
                <w:color w:val="000000"/>
                <w:sz w:val="22"/>
                <w:szCs w:val="22"/>
              </w:rPr>
            </w:pPr>
            <w:r>
              <w:rPr>
                <w:rFonts w:hint="eastAsia" w:ascii="黑体" w:hAnsi="黑体" w:eastAsia="黑体" w:cs="黑体"/>
                <w:b w:val="0"/>
                <w:bCs w:val="0"/>
                <w:color w:val="000000"/>
                <w:sz w:val="22"/>
                <w:szCs w:val="22"/>
                <w:lang w:bidi="ar"/>
              </w:rPr>
              <w:t>评估内容</w:t>
            </w:r>
          </w:p>
        </w:tc>
        <w:tc>
          <w:tcPr>
            <w:tcW w:w="892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黑体" w:hAnsi="黑体" w:eastAsia="黑体" w:cs="黑体"/>
                <w:b w:val="0"/>
                <w:bCs w:val="0"/>
                <w:color w:val="000000"/>
                <w:sz w:val="22"/>
                <w:szCs w:val="22"/>
              </w:rPr>
            </w:pPr>
            <w:r>
              <w:rPr>
                <w:rFonts w:hint="eastAsia" w:ascii="黑体" w:hAnsi="黑体" w:eastAsia="黑体" w:cs="黑体"/>
                <w:b w:val="0"/>
                <w:bCs w:val="0"/>
                <w:color w:val="000000"/>
                <w:sz w:val="22"/>
                <w:szCs w:val="22"/>
                <w:lang w:bidi="ar"/>
              </w:rPr>
              <w:t>评分说明</w:t>
            </w:r>
          </w:p>
        </w:tc>
        <w:tc>
          <w:tcPr>
            <w:tcW w:w="75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黑体" w:hAnsi="黑体" w:eastAsia="黑体" w:cs="黑体"/>
                <w:b w:val="0"/>
                <w:bCs w:val="0"/>
                <w:color w:val="000000"/>
                <w:sz w:val="22"/>
                <w:szCs w:val="22"/>
              </w:rPr>
            </w:pPr>
            <w:r>
              <w:rPr>
                <w:rFonts w:hint="eastAsia" w:ascii="黑体" w:hAnsi="黑体" w:eastAsia="黑体" w:cs="黑体"/>
                <w:b w:val="0"/>
                <w:bCs w:val="0"/>
                <w:color w:val="000000"/>
                <w:sz w:val="22"/>
                <w:szCs w:val="22"/>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81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sz w:val="22"/>
                <w:szCs w:val="22"/>
                <w:lang w:bidi="ar"/>
              </w:rPr>
              <w:t>1</w:t>
            </w:r>
          </w:p>
        </w:tc>
        <w:tc>
          <w:tcPr>
            <w:tcW w:w="83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color w:val="000000"/>
                <w:sz w:val="22"/>
                <w:szCs w:val="22"/>
                <w:lang w:bidi="ar"/>
              </w:rPr>
              <w:t>系统对接</w:t>
            </w:r>
          </w:p>
        </w:tc>
        <w:tc>
          <w:tcPr>
            <w:tcW w:w="165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sz w:val="22"/>
                <w:szCs w:val="22"/>
                <w:lang w:bidi="ar"/>
              </w:rPr>
              <w:t>业务数据推送</w:t>
            </w:r>
          </w:p>
        </w:tc>
        <w:tc>
          <w:tcPr>
            <w:tcW w:w="892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rPr>
                <w:rFonts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sz w:val="22"/>
                <w:szCs w:val="22"/>
                <w:lang w:bidi="ar"/>
              </w:rPr>
              <w:t>已经接入贵州省劳动用工大数据综合服务平台（以下简称平台）的保险机构信息系统，未在要求的时限内按数据标准完成系统功能更新。</w:t>
            </w:r>
            <w:r>
              <w:rPr>
                <w:rFonts w:hint="eastAsia" w:ascii="仿宋_GB2312" w:hAnsi="仿宋_GB2312" w:eastAsia="仿宋_GB2312" w:cs="仿宋_GB2312"/>
                <w:b w:val="0"/>
                <w:bCs w:val="0"/>
                <w:color w:val="000000"/>
                <w:sz w:val="22"/>
                <w:szCs w:val="22"/>
                <w:lang w:bidi="ar"/>
              </w:rPr>
              <w:t>（未推送数据标准之外的数据不作扣分）</w:t>
            </w:r>
          </w:p>
          <w:p>
            <w:pPr>
              <w:keepNext w:val="0"/>
              <w:keepLines w:val="0"/>
              <w:pageBreakBefore w:val="0"/>
              <w:kinsoku/>
              <w:wordWrap/>
              <w:overflowPunct/>
              <w:topLinePunct w:val="0"/>
              <w:autoSpaceDE/>
              <w:autoSpaceDN/>
              <w:bidi w:val="0"/>
              <w:adjustRightInd/>
              <w:snapToGrid/>
              <w:spacing w:line="0" w:lineRule="atLeast"/>
              <w:ind w:firstLine="440" w:firstLineChars="200"/>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工资保证金信息，每缺1项扣</w:t>
            </w:r>
            <w:r>
              <w:rPr>
                <w:rFonts w:hint="eastAsia" w:ascii="仿宋_GB2312" w:hAnsi="仿宋_GB2312" w:eastAsia="仿宋_GB2312" w:cs="仿宋_GB2312"/>
                <w:b w:val="0"/>
                <w:bCs w:val="0"/>
                <w:color w:val="000000"/>
                <w:sz w:val="22"/>
                <w:szCs w:val="22"/>
                <w:lang w:val="en-US" w:eastAsia="zh-CN" w:bidi="ar"/>
              </w:rPr>
              <w:t>4</w:t>
            </w:r>
            <w:r>
              <w:rPr>
                <w:rFonts w:hint="eastAsia" w:ascii="仿宋_GB2312" w:hAnsi="仿宋_GB2312" w:eastAsia="仿宋_GB2312" w:cs="仿宋_GB2312"/>
                <w:b w:val="0"/>
                <w:bCs w:val="0"/>
                <w:color w:val="000000"/>
                <w:sz w:val="22"/>
                <w:szCs w:val="22"/>
                <w:lang w:bidi="ar"/>
              </w:rPr>
              <w:t>分。</w:t>
            </w:r>
          </w:p>
          <w:p>
            <w:pPr>
              <w:keepNext w:val="0"/>
              <w:keepLines w:val="0"/>
              <w:pageBreakBefore w:val="0"/>
              <w:kinsoku/>
              <w:wordWrap/>
              <w:overflowPunct/>
              <w:topLinePunct w:val="0"/>
              <w:autoSpaceDE/>
              <w:autoSpaceDN/>
              <w:bidi w:val="0"/>
              <w:adjustRightInd/>
              <w:snapToGrid/>
              <w:spacing w:line="0" w:lineRule="atLeast"/>
              <w:ind w:firstLine="440" w:firstLineChars="200"/>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1.工资保证金收支信息（7项）：保险公司名称、保险单号、保单金额、保险有效期起始日期、保险有效期终止日期、其他金额、收支时间；</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2.工资保证金支付明细信息（7项）：收支编号、收支方式、保险单号、务工人员公民身份号码、务工人员姓名、工资支付金额、工资支付方式。</w:t>
            </w:r>
          </w:p>
        </w:tc>
        <w:tc>
          <w:tcPr>
            <w:tcW w:w="75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lang w:bidi="ar"/>
              </w:rPr>
            </w:pPr>
            <w:r>
              <w:rPr>
                <w:rFonts w:ascii="仿宋_GB2312" w:hAnsi="仿宋_GB2312" w:eastAsia="仿宋_GB2312" w:cs="仿宋_GB2312"/>
                <w:b w:val="0"/>
                <w:bCs w:val="0"/>
                <w:sz w:val="22"/>
                <w:szCs w:val="22"/>
                <w:lang w:bidi="ar"/>
              </w:rPr>
              <w:t>20</w:t>
            </w:r>
            <w:r>
              <w:rPr>
                <w:rFonts w:hint="eastAsia" w:ascii="仿宋_GB2312" w:hAnsi="仿宋_GB2312" w:eastAsia="仿宋_GB2312" w:cs="仿宋_GB2312"/>
                <w:b w:val="0"/>
                <w:bCs w:val="0"/>
                <w:sz w:val="22"/>
                <w:szCs w:val="22"/>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81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sz w:val="22"/>
                <w:szCs w:val="22"/>
                <w:lang w:bidi="ar"/>
              </w:rPr>
              <w:t>2</w:t>
            </w:r>
          </w:p>
        </w:tc>
        <w:tc>
          <w:tcPr>
            <w:tcW w:w="83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color w:val="000000"/>
                <w:sz w:val="22"/>
                <w:szCs w:val="22"/>
                <w:lang w:bidi="ar"/>
              </w:rPr>
              <w:t>业务能力</w:t>
            </w:r>
          </w:p>
        </w:tc>
        <w:tc>
          <w:tcPr>
            <w:tcW w:w="165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sz w:val="22"/>
                <w:szCs w:val="22"/>
                <w:lang w:bidi="ar"/>
              </w:rPr>
              <w:t>工资保证金</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sz w:val="22"/>
                <w:szCs w:val="22"/>
                <w:lang w:bidi="ar"/>
              </w:rPr>
              <w:t>存储和退还</w:t>
            </w:r>
          </w:p>
        </w:tc>
        <w:tc>
          <w:tcPr>
            <w:tcW w:w="892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rPr>
                <w:rFonts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sz w:val="22"/>
                <w:szCs w:val="22"/>
                <w:lang w:bidi="ar"/>
              </w:rPr>
              <w:t>1.项目符合保证保险存储保证金条件，保险机构受理企业提交工资保证金存储业务申请（含网上预约），超过</w:t>
            </w:r>
            <w:r>
              <w:rPr>
                <w:rFonts w:hint="eastAsia" w:ascii="仿宋_GB2312" w:hAnsi="仿宋_GB2312" w:eastAsia="仿宋_GB2312" w:cs="仿宋_GB2312"/>
                <w:b w:val="0"/>
                <w:bCs w:val="0"/>
                <w:sz w:val="22"/>
                <w:szCs w:val="22"/>
              </w:rPr>
              <w:t>5个工作日</w:t>
            </w:r>
            <w:r>
              <w:rPr>
                <w:rFonts w:hint="eastAsia" w:ascii="仿宋_GB2312" w:hAnsi="仿宋_GB2312" w:eastAsia="仿宋_GB2312" w:cs="仿宋_GB2312"/>
                <w:b w:val="0"/>
                <w:bCs w:val="0"/>
                <w:sz w:val="22"/>
                <w:szCs w:val="22"/>
                <w:lang w:bidi="ar"/>
              </w:rPr>
              <w:t>未办理完成的，每发现1个项目扣</w:t>
            </w:r>
            <w:r>
              <w:rPr>
                <w:rFonts w:hint="eastAsia" w:ascii="仿宋_GB2312" w:hAnsi="仿宋_GB2312" w:eastAsia="仿宋_GB2312" w:cs="仿宋_GB2312"/>
                <w:b w:val="0"/>
                <w:bCs w:val="0"/>
                <w:sz w:val="22"/>
                <w:szCs w:val="22"/>
                <w:lang w:val="en-US" w:eastAsia="zh-CN" w:bidi="ar"/>
              </w:rPr>
              <w:t>2</w:t>
            </w:r>
            <w:r>
              <w:rPr>
                <w:rFonts w:hint="eastAsia" w:ascii="仿宋_GB2312" w:hAnsi="仿宋_GB2312" w:eastAsia="仿宋_GB2312" w:cs="仿宋_GB2312"/>
                <w:b w:val="0"/>
                <w:bCs w:val="0"/>
                <w:sz w:val="22"/>
                <w:szCs w:val="22"/>
                <w:lang w:bidi="ar"/>
              </w:rPr>
              <w:t>分；</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rPr>
                <w:rFonts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sz w:val="22"/>
                <w:szCs w:val="22"/>
                <w:lang w:bidi="ar"/>
              </w:rPr>
              <w:t>2.保单有效期少于1年，或短于施工合同约定的竣工（交工、完工）日期后6个月，或短于施工合同期，每发现1个项目扣</w:t>
            </w:r>
            <w:r>
              <w:rPr>
                <w:rFonts w:hint="eastAsia" w:ascii="仿宋_GB2312" w:hAnsi="仿宋_GB2312" w:eastAsia="仿宋_GB2312" w:cs="仿宋_GB2312"/>
                <w:b w:val="0"/>
                <w:bCs w:val="0"/>
                <w:sz w:val="22"/>
                <w:szCs w:val="22"/>
                <w:lang w:val="en-US" w:eastAsia="zh-CN" w:bidi="ar"/>
              </w:rPr>
              <w:t>2</w:t>
            </w:r>
            <w:r>
              <w:rPr>
                <w:rFonts w:hint="eastAsia" w:ascii="仿宋_GB2312" w:hAnsi="仿宋_GB2312" w:eastAsia="仿宋_GB2312" w:cs="仿宋_GB2312"/>
                <w:b w:val="0"/>
                <w:bCs w:val="0"/>
                <w:sz w:val="22"/>
                <w:szCs w:val="22"/>
                <w:lang w:bidi="ar"/>
              </w:rPr>
              <w:t>分；</w:t>
            </w:r>
          </w:p>
          <w:p>
            <w:pPr>
              <w:keepNext w:val="0"/>
              <w:keepLines w:val="0"/>
              <w:pageBreakBefore w:val="0"/>
              <w:widowControl w:val="0"/>
              <w:kinsoku/>
              <w:wordWrap/>
              <w:overflowPunct/>
              <w:topLinePunct w:val="0"/>
              <w:autoSpaceDE/>
              <w:autoSpaceDN/>
              <w:bidi w:val="0"/>
              <w:adjustRightInd/>
              <w:snapToGrid/>
              <w:spacing w:line="0" w:lineRule="atLeast"/>
              <w:ind w:firstLine="440" w:firstLineChars="200"/>
              <w:jc w:val="both"/>
              <w:textAlignment w:val="center"/>
              <w:rPr>
                <w:b w:val="0"/>
                <w:bCs w:val="0"/>
                <w:sz w:val="22"/>
                <w:szCs w:val="22"/>
              </w:rPr>
            </w:pPr>
            <w:r>
              <w:rPr>
                <w:rFonts w:hint="eastAsia" w:ascii="仿宋_GB2312" w:hAnsi="仿宋_GB2312" w:eastAsia="仿宋_GB2312" w:cs="仿宋_GB2312"/>
                <w:b w:val="0"/>
                <w:bCs w:val="0"/>
                <w:sz w:val="22"/>
                <w:szCs w:val="22"/>
                <w:lang w:bidi="ar"/>
              </w:rPr>
              <w:t>3.产生赔付后，存储主体未在10个工作日内补足已赔付部分的差额保单，或补交对应差额工资保证金现金，未督促存储主体整改且未报告监管部门的，每发现1个项目扣</w:t>
            </w:r>
            <w:r>
              <w:rPr>
                <w:rFonts w:hint="eastAsia" w:ascii="仿宋_GB2312" w:hAnsi="仿宋_GB2312" w:eastAsia="仿宋_GB2312" w:cs="仿宋_GB2312"/>
                <w:b w:val="0"/>
                <w:bCs w:val="0"/>
                <w:sz w:val="22"/>
                <w:szCs w:val="22"/>
                <w:lang w:val="en-US" w:eastAsia="zh-CN" w:bidi="ar"/>
              </w:rPr>
              <w:t>2</w:t>
            </w:r>
            <w:r>
              <w:rPr>
                <w:rFonts w:hint="eastAsia" w:ascii="仿宋_GB2312" w:hAnsi="仿宋_GB2312" w:eastAsia="仿宋_GB2312" w:cs="仿宋_GB2312"/>
                <w:b w:val="0"/>
                <w:bCs w:val="0"/>
                <w:sz w:val="22"/>
                <w:szCs w:val="22"/>
                <w:lang w:bidi="ar"/>
              </w:rPr>
              <w:t>分。</w:t>
            </w:r>
          </w:p>
        </w:tc>
        <w:tc>
          <w:tcPr>
            <w:tcW w:w="75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sz w:val="22"/>
                <w:szCs w:val="22"/>
                <w:lang w:val="en-US" w:eastAsia="zh-CN" w:bidi="ar"/>
              </w:rPr>
              <w:t>1</w:t>
            </w:r>
            <w:r>
              <w:rPr>
                <w:rFonts w:hint="eastAsia" w:ascii="仿宋_GB2312" w:hAnsi="仿宋_GB2312" w:eastAsia="仿宋_GB2312" w:cs="仿宋_GB2312"/>
                <w:b w:val="0"/>
                <w:bCs w:val="0"/>
                <w:sz w:val="22"/>
                <w:szCs w:val="22"/>
                <w:lang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1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sz w:val="22"/>
                <w:szCs w:val="22"/>
                <w:lang w:bidi="ar"/>
              </w:rPr>
              <w:t>3</w:t>
            </w:r>
          </w:p>
        </w:tc>
        <w:tc>
          <w:tcPr>
            <w:tcW w:w="834"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color w:val="000000"/>
                <w:sz w:val="22"/>
                <w:szCs w:val="22"/>
              </w:rPr>
              <w:t>服务能力</w:t>
            </w:r>
          </w:p>
        </w:tc>
        <w:tc>
          <w:tcPr>
            <w:tcW w:w="165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sz w:val="22"/>
                <w:szCs w:val="22"/>
                <w:lang w:bidi="ar"/>
              </w:rPr>
              <w:t>机构设置</w:t>
            </w:r>
          </w:p>
        </w:tc>
        <w:tc>
          <w:tcPr>
            <w:tcW w:w="892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440" w:firstLineChars="200"/>
              <w:textAlignment w:val="center"/>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共保体省市县三级相关机构未明确专人</w:t>
            </w:r>
            <w:r>
              <w:rPr>
                <w:rFonts w:hint="eastAsia" w:ascii="仿宋_GB2312" w:hAnsi="仿宋_GB2312" w:eastAsia="仿宋_GB2312" w:cs="仿宋_GB2312"/>
                <w:b w:val="0"/>
                <w:bCs w:val="0"/>
                <w:color w:val="000000"/>
                <w:sz w:val="22"/>
                <w:szCs w:val="22"/>
                <w:lang w:bidi="ar"/>
              </w:rPr>
              <w:t>对接各市（州）、县（市、区、特区）劳动监察机构，配合开展</w:t>
            </w:r>
            <w:r>
              <w:rPr>
                <w:rFonts w:hint="eastAsia" w:ascii="仿宋_GB2312" w:hAnsi="仿宋_GB2312" w:eastAsia="仿宋_GB2312" w:cs="仿宋_GB2312"/>
                <w:b w:val="0"/>
                <w:bCs w:val="0"/>
                <w:color w:val="000000"/>
                <w:sz w:val="22"/>
                <w:szCs w:val="22"/>
                <w:lang w:eastAsia="zh-CN" w:bidi="ar"/>
              </w:rPr>
              <w:t>理赔、风险防控</w:t>
            </w:r>
            <w:r>
              <w:rPr>
                <w:rFonts w:hint="eastAsia" w:ascii="仿宋_GB2312" w:hAnsi="仿宋_GB2312" w:eastAsia="仿宋_GB2312" w:cs="仿宋_GB2312"/>
                <w:b w:val="0"/>
                <w:bCs w:val="0"/>
                <w:color w:val="000000"/>
                <w:sz w:val="22"/>
                <w:szCs w:val="22"/>
                <w:lang w:bidi="ar"/>
              </w:rPr>
              <w:t>相关工作的，每涉及1个地区扣</w:t>
            </w:r>
            <w:r>
              <w:rPr>
                <w:rFonts w:hint="eastAsia" w:ascii="仿宋_GB2312" w:hAnsi="仿宋_GB2312" w:eastAsia="仿宋_GB2312" w:cs="仿宋_GB2312"/>
                <w:b w:val="0"/>
                <w:bCs w:val="0"/>
                <w:color w:val="000000"/>
                <w:sz w:val="22"/>
                <w:szCs w:val="22"/>
                <w:lang w:val="en-US" w:eastAsia="zh-CN" w:bidi="ar"/>
              </w:rPr>
              <w:t>5</w:t>
            </w:r>
            <w:r>
              <w:rPr>
                <w:rFonts w:hint="eastAsia" w:ascii="仿宋_GB2312" w:hAnsi="仿宋_GB2312" w:eastAsia="仿宋_GB2312" w:cs="仿宋_GB2312"/>
                <w:b w:val="0"/>
                <w:bCs w:val="0"/>
                <w:color w:val="000000"/>
                <w:sz w:val="22"/>
                <w:szCs w:val="22"/>
                <w:lang w:bidi="ar"/>
              </w:rPr>
              <w:t>分</w:t>
            </w:r>
            <w:r>
              <w:rPr>
                <w:rFonts w:hint="eastAsia" w:ascii="仿宋_GB2312" w:hAnsi="仿宋_GB2312" w:eastAsia="仿宋_GB2312" w:cs="仿宋_GB2312"/>
                <w:b w:val="0"/>
                <w:bCs w:val="0"/>
                <w:sz w:val="22"/>
                <w:szCs w:val="22"/>
              </w:rPr>
              <w:t>。</w:t>
            </w:r>
          </w:p>
        </w:tc>
        <w:tc>
          <w:tcPr>
            <w:tcW w:w="75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lang w:val="en-US" w:eastAsia="zh-CN"/>
              </w:rPr>
              <w:t>10</w:t>
            </w:r>
            <w:r>
              <w:rPr>
                <w:rFonts w:hint="eastAsia" w:ascii="仿宋_GB2312" w:hAnsi="仿宋_GB2312" w:eastAsia="仿宋_GB2312" w:cs="仿宋_GB2312"/>
                <w:b w:val="0"/>
                <w:bCs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1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val="0"/>
                <w:sz w:val="22"/>
                <w:szCs w:val="22"/>
                <w:lang w:val="en-US" w:eastAsia="zh-CN" w:bidi="ar"/>
              </w:rPr>
            </w:pPr>
            <w:r>
              <w:rPr>
                <w:rFonts w:hint="eastAsia" w:ascii="仿宋_GB2312" w:hAnsi="仿宋_GB2312" w:eastAsia="仿宋_GB2312" w:cs="仿宋_GB2312"/>
                <w:b w:val="0"/>
                <w:bCs w:val="0"/>
                <w:sz w:val="22"/>
                <w:szCs w:val="22"/>
                <w:lang w:val="en-US" w:eastAsia="zh-CN" w:bidi="ar"/>
              </w:rPr>
              <w:t>4</w:t>
            </w:r>
          </w:p>
        </w:tc>
        <w:tc>
          <w:tcPr>
            <w:tcW w:w="834"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val="0"/>
                <w:color w:val="000000"/>
                <w:sz w:val="22"/>
                <w:szCs w:val="22"/>
              </w:rPr>
            </w:pPr>
          </w:p>
        </w:tc>
        <w:tc>
          <w:tcPr>
            <w:tcW w:w="165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color w:val="000000"/>
                <w:sz w:val="22"/>
                <w:szCs w:val="22"/>
                <w:lang w:bidi="ar"/>
              </w:rPr>
              <w:t>培训服务</w:t>
            </w:r>
          </w:p>
        </w:tc>
        <w:tc>
          <w:tcPr>
            <w:tcW w:w="892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440" w:firstLineChars="200"/>
              <w:textAlignment w:val="center"/>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1.未向投保人、被保险人提供日常保险咨询、培训等服务，每发现一次扣</w:t>
            </w:r>
            <w:r>
              <w:rPr>
                <w:rFonts w:hint="eastAsia" w:ascii="仿宋_GB2312" w:hAnsi="仿宋_GB2312" w:eastAsia="仿宋_GB2312" w:cs="仿宋_GB2312"/>
                <w:b w:val="0"/>
                <w:bCs w:val="0"/>
                <w:sz w:val="22"/>
                <w:szCs w:val="22"/>
                <w:lang w:val="en-US" w:eastAsia="zh-CN"/>
              </w:rPr>
              <w:t>2</w:t>
            </w:r>
            <w:r>
              <w:rPr>
                <w:rFonts w:hint="eastAsia" w:ascii="仿宋_GB2312" w:hAnsi="仿宋_GB2312" w:eastAsia="仿宋_GB2312" w:cs="仿宋_GB2312"/>
                <w:b w:val="0"/>
                <w:bCs w:val="0"/>
                <w:sz w:val="22"/>
                <w:szCs w:val="22"/>
              </w:rPr>
              <w:t>分；</w:t>
            </w:r>
          </w:p>
          <w:p>
            <w:pPr>
              <w:pStyle w:val="6"/>
              <w:keepNext w:val="0"/>
              <w:keepLines w:val="0"/>
              <w:pageBreakBefore w:val="0"/>
              <w:kinsoku/>
              <w:wordWrap/>
              <w:overflowPunct/>
              <w:topLinePunct w:val="0"/>
              <w:autoSpaceDE/>
              <w:autoSpaceDN/>
              <w:bidi w:val="0"/>
              <w:adjustRightInd/>
              <w:snapToGrid/>
              <w:spacing w:after="0" w:line="0" w:lineRule="atLeast"/>
              <w:ind w:firstLine="440" w:firstLineChars="200"/>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2.未按照属地人力资源社会保障部门需求开展培训服务，每发现一次扣</w:t>
            </w:r>
            <w:r>
              <w:rPr>
                <w:rFonts w:ascii="仿宋_GB2312" w:hAnsi="仿宋_GB2312" w:eastAsia="仿宋_GB2312" w:cs="仿宋_GB2312"/>
                <w:b w:val="0"/>
                <w:bCs w:val="0"/>
                <w:sz w:val="22"/>
                <w:szCs w:val="22"/>
              </w:rPr>
              <w:t>1</w:t>
            </w:r>
            <w:r>
              <w:rPr>
                <w:rFonts w:hint="eastAsia" w:ascii="仿宋_GB2312" w:hAnsi="仿宋_GB2312" w:eastAsia="仿宋_GB2312" w:cs="仿宋_GB2312"/>
                <w:b w:val="0"/>
                <w:bCs w:val="0"/>
                <w:sz w:val="22"/>
                <w:szCs w:val="22"/>
              </w:rPr>
              <w:t>分。</w:t>
            </w:r>
          </w:p>
        </w:tc>
        <w:tc>
          <w:tcPr>
            <w:tcW w:w="75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sz w:val="22"/>
                <w:szCs w:val="22"/>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val="0"/>
                <w:sz w:val="22"/>
                <w:szCs w:val="22"/>
                <w:lang w:val="en-US" w:eastAsia="zh-CN" w:bidi="ar"/>
              </w:rPr>
            </w:pPr>
            <w:r>
              <w:rPr>
                <w:rFonts w:hint="eastAsia" w:ascii="黑体" w:hAnsi="黑体" w:eastAsia="黑体" w:cs="黑体"/>
                <w:b w:val="0"/>
                <w:bCs w:val="0"/>
                <w:color w:val="000000"/>
                <w:sz w:val="22"/>
                <w:szCs w:val="22"/>
                <w:lang w:bidi="ar"/>
              </w:rPr>
              <w:t>序号</w:t>
            </w:r>
          </w:p>
        </w:tc>
        <w:tc>
          <w:tcPr>
            <w:tcW w:w="834"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b w:val="0"/>
                <w:bCs w:val="0"/>
                <w:color w:val="000000"/>
                <w:sz w:val="22"/>
                <w:szCs w:val="22"/>
              </w:rPr>
            </w:pPr>
            <w:r>
              <w:rPr>
                <w:rFonts w:hint="eastAsia" w:ascii="黑体" w:hAnsi="黑体" w:eastAsia="黑体" w:cs="黑体"/>
                <w:b w:val="0"/>
                <w:bCs w:val="0"/>
                <w:color w:val="000000"/>
                <w:sz w:val="22"/>
                <w:szCs w:val="22"/>
                <w:lang w:bidi="ar"/>
              </w:rPr>
              <w:t>评估类别</w:t>
            </w:r>
          </w:p>
        </w:tc>
        <w:tc>
          <w:tcPr>
            <w:tcW w:w="165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hint="eastAsia" w:ascii="仿宋_GB2312" w:hAnsi="仿宋_GB2312" w:eastAsia="仿宋_GB2312" w:cs="仿宋_GB2312"/>
                <w:b w:val="0"/>
                <w:bCs w:val="0"/>
                <w:color w:val="000000"/>
                <w:sz w:val="22"/>
                <w:szCs w:val="22"/>
                <w:lang w:bidi="ar"/>
              </w:rPr>
            </w:pPr>
            <w:r>
              <w:rPr>
                <w:rFonts w:hint="eastAsia" w:ascii="黑体" w:hAnsi="黑体" w:eastAsia="黑体" w:cs="黑体"/>
                <w:b w:val="0"/>
                <w:bCs w:val="0"/>
                <w:color w:val="000000"/>
                <w:sz w:val="22"/>
                <w:szCs w:val="22"/>
                <w:lang w:bidi="ar"/>
              </w:rPr>
              <w:t>评估内容</w:t>
            </w:r>
          </w:p>
        </w:tc>
        <w:tc>
          <w:tcPr>
            <w:tcW w:w="892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val="0"/>
                <w:sz w:val="22"/>
                <w:szCs w:val="22"/>
              </w:rPr>
            </w:pPr>
            <w:r>
              <w:rPr>
                <w:rFonts w:hint="eastAsia" w:ascii="黑体" w:hAnsi="黑体" w:eastAsia="黑体" w:cs="黑体"/>
                <w:b w:val="0"/>
                <w:bCs w:val="0"/>
                <w:color w:val="000000"/>
                <w:sz w:val="22"/>
                <w:szCs w:val="22"/>
                <w:lang w:bidi="ar"/>
              </w:rPr>
              <w:t>评分说明</w:t>
            </w:r>
          </w:p>
        </w:tc>
        <w:tc>
          <w:tcPr>
            <w:tcW w:w="75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val="0"/>
                <w:color w:val="000000"/>
                <w:sz w:val="22"/>
                <w:szCs w:val="22"/>
                <w:lang w:bidi="ar"/>
              </w:rPr>
            </w:pPr>
            <w:r>
              <w:rPr>
                <w:rFonts w:hint="eastAsia" w:ascii="黑体" w:hAnsi="黑体" w:eastAsia="黑体" w:cs="黑体"/>
                <w:b w:val="0"/>
                <w:bCs w:val="0"/>
                <w:color w:val="000000"/>
                <w:sz w:val="22"/>
                <w:szCs w:val="22"/>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6"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sz w:val="22"/>
                <w:szCs w:val="22"/>
                <w:lang w:bidi="ar"/>
              </w:rPr>
              <w:t>4</w:t>
            </w:r>
          </w:p>
        </w:tc>
        <w:tc>
          <w:tcPr>
            <w:tcW w:w="834"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color w:val="000000"/>
                <w:sz w:val="22"/>
                <w:szCs w:val="22"/>
              </w:rPr>
              <w:t>风险防控</w:t>
            </w:r>
          </w:p>
        </w:tc>
        <w:tc>
          <w:tcPr>
            <w:tcW w:w="165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sz w:val="22"/>
                <w:szCs w:val="22"/>
                <w:lang w:bidi="ar"/>
              </w:rPr>
              <w:t>履约保证金</w:t>
            </w:r>
          </w:p>
        </w:tc>
        <w:tc>
          <w:tcPr>
            <w:tcW w:w="892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440" w:firstLineChars="200"/>
              <w:textAlignment w:val="center"/>
              <w:rPr>
                <w:b w:val="0"/>
                <w:bCs w:val="0"/>
                <w:sz w:val="22"/>
                <w:szCs w:val="22"/>
              </w:rPr>
            </w:pPr>
            <w:r>
              <w:rPr>
                <w:rFonts w:hint="eastAsia" w:ascii="仿宋_GB2312" w:hAnsi="仿宋_GB2312" w:eastAsia="仿宋_GB2312" w:cs="仿宋_GB2312"/>
                <w:b w:val="0"/>
                <w:bCs w:val="0"/>
                <w:sz w:val="22"/>
                <w:szCs w:val="22"/>
              </w:rPr>
              <w:t>未按要求向省级人力资源社会保障部门报告履约保证金银行账户情况，提供银行对账单、保证金变动及余额情况，扣</w:t>
            </w:r>
            <w:r>
              <w:rPr>
                <w:rFonts w:ascii="仿宋_GB2312" w:hAnsi="仿宋_GB2312" w:eastAsia="仿宋_GB2312" w:cs="仿宋_GB2312"/>
                <w:b w:val="0"/>
                <w:bCs w:val="0"/>
                <w:sz w:val="22"/>
                <w:szCs w:val="22"/>
              </w:rPr>
              <w:t>5</w:t>
            </w:r>
            <w:r>
              <w:rPr>
                <w:rFonts w:hint="eastAsia" w:ascii="仿宋_GB2312" w:hAnsi="仿宋_GB2312" w:eastAsia="仿宋_GB2312" w:cs="仿宋_GB2312"/>
                <w:b w:val="0"/>
                <w:bCs w:val="0"/>
                <w:sz w:val="22"/>
                <w:szCs w:val="22"/>
              </w:rPr>
              <w:t>分。</w:t>
            </w:r>
          </w:p>
        </w:tc>
        <w:tc>
          <w:tcPr>
            <w:tcW w:w="75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rPr>
            </w:pPr>
            <w:r>
              <w:rPr>
                <w:rFonts w:ascii="仿宋_GB2312" w:hAnsi="仿宋_GB2312" w:eastAsia="仿宋_GB2312" w:cs="仿宋_GB2312"/>
                <w:b w:val="0"/>
                <w:bCs w:val="0"/>
                <w:sz w:val="22"/>
                <w:szCs w:val="22"/>
              </w:rPr>
              <w:t>5</w:t>
            </w:r>
            <w:r>
              <w:rPr>
                <w:rFonts w:hint="eastAsia" w:ascii="仿宋_GB2312" w:hAnsi="仿宋_GB2312" w:eastAsia="仿宋_GB2312" w:cs="仿宋_GB2312"/>
                <w:b w:val="0"/>
                <w:bCs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val="0"/>
                <w:bCs w:val="0"/>
                <w:color w:val="FF0000"/>
                <w:sz w:val="22"/>
                <w:szCs w:val="22"/>
                <w:lang w:val="en-US" w:eastAsia="zh-CN" w:bidi="ar"/>
              </w:rPr>
            </w:pPr>
            <w:r>
              <w:rPr>
                <w:rFonts w:hint="eastAsia" w:ascii="仿宋_GB2312" w:hAnsi="仿宋_GB2312" w:eastAsia="仿宋_GB2312" w:cs="仿宋_GB2312"/>
                <w:b w:val="0"/>
                <w:bCs w:val="0"/>
                <w:sz w:val="22"/>
                <w:szCs w:val="22"/>
                <w:lang w:val="en-US" w:eastAsia="zh-CN" w:bidi="ar"/>
              </w:rPr>
              <w:t>5</w:t>
            </w:r>
          </w:p>
        </w:tc>
        <w:tc>
          <w:tcPr>
            <w:tcW w:w="83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hint="eastAsia" w:ascii="黑体" w:hAnsi="黑体" w:eastAsia="黑体" w:cs="黑体"/>
                <w:b w:val="0"/>
                <w:bCs w:val="0"/>
                <w:color w:val="000000"/>
                <w:sz w:val="22"/>
                <w:szCs w:val="22"/>
                <w:lang w:bidi="ar"/>
              </w:rPr>
            </w:pPr>
          </w:p>
        </w:tc>
        <w:tc>
          <w:tcPr>
            <w:tcW w:w="16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outlineLvl w:val="9"/>
              <w:rPr>
                <w:rFonts w:hint="eastAsia" w:ascii="仿宋" w:hAnsi="仿宋" w:eastAsia="仿宋" w:cs="仿宋"/>
                <w:b w:val="0"/>
                <w:bCs w:val="0"/>
                <w:color w:val="FF0000"/>
                <w:sz w:val="22"/>
                <w:szCs w:val="22"/>
                <w:lang w:eastAsia="zh-CN"/>
              </w:rPr>
            </w:pPr>
            <w:r>
              <w:rPr>
                <w:rFonts w:hint="eastAsia" w:ascii="仿宋_GB2312" w:hAnsi="仿宋_GB2312" w:eastAsia="仿宋_GB2312" w:cs="仿宋_GB2312"/>
                <w:b w:val="0"/>
                <w:bCs w:val="0"/>
                <w:sz w:val="22"/>
                <w:szCs w:val="22"/>
                <w:lang w:eastAsia="zh-CN" w:bidi="ar"/>
              </w:rPr>
              <w:t>风险排查</w:t>
            </w:r>
          </w:p>
        </w:tc>
        <w:tc>
          <w:tcPr>
            <w:tcW w:w="8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440" w:firstLineChars="200"/>
              <w:textAlignment w:val="center"/>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color w:val="000000"/>
                <w:sz w:val="22"/>
                <w:szCs w:val="22"/>
                <w:lang w:bidi="ar"/>
              </w:rPr>
              <w:t>各市（州）、县（市、区、特区）负责相关理赔</w:t>
            </w:r>
            <w:r>
              <w:rPr>
                <w:rFonts w:hint="eastAsia" w:ascii="仿宋_GB2312" w:hAnsi="仿宋_GB2312" w:eastAsia="仿宋_GB2312" w:cs="仿宋_GB2312"/>
                <w:b w:val="0"/>
                <w:bCs w:val="0"/>
                <w:color w:val="000000"/>
                <w:sz w:val="22"/>
                <w:szCs w:val="22"/>
                <w:lang w:eastAsia="zh-CN" w:bidi="ar"/>
              </w:rPr>
              <w:t>、</w:t>
            </w:r>
            <w:r>
              <w:rPr>
                <w:rFonts w:hint="eastAsia" w:ascii="仿宋_GB2312" w:hAnsi="仿宋_GB2312" w:eastAsia="仿宋_GB2312" w:cs="仿宋_GB2312"/>
                <w:b w:val="0"/>
                <w:bCs w:val="0"/>
                <w:color w:val="000000"/>
                <w:sz w:val="22"/>
                <w:szCs w:val="22"/>
                <w:lang w:bidi="ar"/>
              </w:rPr>
              <w:t>风险防控的人员，每月至少1次对所在地区相关在建工程项目进行风险排查，掌握工程项目工资支付制度落实情况，及时发现欠薪风险隐患并报告监管部门，协助相关企业做好问题整改。</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Fonts w:ascii="仿宋" w:hAnsi="仿宋" w:eastAsia="仿宋" w:cs="仿宋"/>
                <w:b w:val="0"/>
                <w:bCs w:val="0"/>
                <w:color w:val="FF0000"/>
                <w:sz w:val="22"/>
                <w:szCs w:val="22"/>
              </w:rPr>
            </w:pPr>
            <w:r>
              <w:rPr>
                <w:rFonts w:hint="eastAsia" w:ascii="仿宋_GB2312" w:hAnsi="仿宋_GB2312" w:eastAsia="仿宋_GB2312" w:cs="仿宋_GB2312"/>
                <w:b w:val="0"/>
                <w:bCs w:val="0"/>
                <w:color w:val="000000"/>
                <w:sz w:val="22"/>
                <w:szCs w:val="22"/>
                <w:lang w:val="en-US" w:eastAsia="zh-CN" w:bidi="ar"/>
              </w:rPr>
              <w:t xml:space="preserve">    </w:t>
            </w:r>
            <w:r>
              <w:rPr>
                <w:rFonts w:hint="eastAsia" w:ascii="仿宋_GB2312" w:hAnsi="仿宋_GB2312" w:eastAsia="仿宋_GB2312" w:cs="仿宋_GB2312"/>
                <w:b w:val="0"/>
                <w:bCs w:val="0"/>
                <w:color w:val="000000"/>
                <w:sz w:val="22"/>
                <w:szCs w:val="22"/>
                <w:lang w:bidi="ar"/>
              </w:rPr>
              <w:t>市（州）人力资源社会保障部门书面反映工作未落实的，每涉及一个地区扣5分，县（市、区、特区）人力资源社会保障部门书面反映工作未落实的，每涉及一个地区扣2分。</w:t>
            </w:r>
          </w:p>
        </w:tc>
        <w:tc>
          <w:tcPr>
            <w:tcW w:w="7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 w:hAnsi="仿宋" w:eastAsia="仿宋" w:cs="仿宋"/>
                <w:b w:val="0"/>
                <w:bCs w:val="0"/>
                <w:color w:val="FF0000"/>
                <w:sz w:val="22"/>
                <w:szCs w:val="22"/>
              </w:rPr>
            </w:pPr>
            <w:r>
              <w:rPr>
                <w:rFonts w:hint="eastAsia" w:ascii="仿宋_GB2312" w:hAnsi="仿宋_GB2312" w:eastAsia="仿宋_GB2312" w:cs="仿宋_GB2312"/>
                <w:b w:val="0"/>
                <w:bCs w:val="0"/>
                <w:color w:val="000000"/>
                <w:sz w:val="22"/>
                <w:szCs w:val="22"/>
                <w:lang w:val="en-US" w:eastAsia="zh-CN" w:bidi="ar"/>
              </w:rPr>
              <w:t>2</w:t>
            </w:r>
            <w:r>
              <w:rPr>
                <w:rFonts w:ascii="仿宋_GB2312" w:hAnsi="仿宋_GB2312" w:eastAsia="仿宋_GB2312" w:cs="仿宋_GB2312"/>
                <w:b w:val="0"/>
                <w:bCs w:val="0"/>
                <w:color w:val="000000"/>
                <w:sz w:val="22"/>
                <w:szCs w:val="22"/>
                <w:lang w:bidi="ar"/>
              </w:rPr>
              <w:t>0</w:t>
            </w:r>
            <w:r>
              <w:rPr>
                <w:rFonts w:hint="eastAsia" w:ascii="仿宋_GB2312" w:hAnsi="仿宋_GB2312" w:eastAsia="仿宋_GB2312" w:cs="仿宋_GB2312"/>
                <w:b w:val="0"/>
                <w:bCs w:val="0"/>
                <w:color w:val="000000"/>
                <w:sz w:val="22"/>
                <w:szCs w:val="22"/>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val="0"/>
                <w:sz w:val="22"/>
                <w:szCs w:val="22"/>
                <w:lang w:eastAsia="zh-CN" w:bidi="ar"/>
              </w:rPr>
            </w:pPr>
            <w:r>
              <w:rPr>
                <w:rFonts w:hint="eastAsia" w:ascii="仿宋_GB2312" w:hAnsi="仿宋_GB2312" w:eastAsia="仿宋_GB2312" w:cs="仿宋_GB2312"/>
                <w:b w:val="0"/>
                <w:bCs w:val="0"/>
                <w:sz w:val="22"/>
                <w:szCs w:val="22"/>
                <w:lang w:val="en-US" w:eastAsia="zh-CN" w:bidi="ar"/>
              </w:rPr>
              <w:t>6</w:t>
            </w:r>
          </w:p>
        </w:tc>
        <w:tc>
          <w:tcPr>
            <w:tcW w:w="83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val="0"/>
                <w:sz w:val="22"/>
                <w:szCs w:val="22"/>
                <w:lang w:bidi="ar"/>
              </w:rPr>
            </w:pPr>
          </w:p>
        </w:tc>
        <w:tc>
          <w:tcPr>
            <w:tcW w:w="16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color w:val="000000"/>
                <w:sz w:val="22"/>
                <w:szCs w:val="22"/>
              </w:rPr>
              <w:t>配合处理</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lang w:bidi="ar"/>
              </w:rPr>
            </w:pPr>
            <w:r>
              <w:rPr>
                <w:rFonts w:hint="eastAsia" w:ascii="仿宋_GB2312" w:hAnsi="仿宋_GB2312" w:eastAsia="仿宋_GB2312" w:cs="仿宋_GB2312"/>
                <w:b w:val="0"/>
                <w:bCs w:val="0"/>
                <w:color w:val="000000"/>
                <w:sz w:val="22"/>
                <w:szCs w:val="22"/>
              </w:rPr>
              <w:t>欠薪案件</w:t>
            </w:r>
          </w:p>
        </w:tc>
        <w:tc>
          <w:tcPr>
            <w:tcW w:w="8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440" w:firstLineChars="200"/>
              <w:textAlignment w:val="center"/>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sz w:val="22"/>
                <w:szCs w:val="22"/>
              </w:rPr>
              <w:t>在收到人社部门出具的《支付通知书》5个工作日内（突发事件2</w:t>
            </w:r>
            <w:r>
              <w:rPr>
                <w:rFonts w:ascii="仿宋_GB2312" w:hAnsi="仿宋_GB2312" w:eastAsia="仿宋_GB2312" w:cs="仿宋_GB2312"/>
                <w:b w:val="0"/>
                <w:bCs w:val="0"/>
                <w:color w:val="000000"/>
                <w:sz w:val="22"/>
                <w:szCs w:val="22"/>
              </w:rPr>
              <w:t>4</w:t>
            </w:r>
            <w:r>
              <w:rPr>
                <w:rFonts w:hint="eastAsia" w:ascii="仿宋_GB2312" w:hAnsi="仿宋_GB2312" w:eastAsia="仿宋_GB2312" w:cs="仿宋_GB2312"/>
                <w:b w:val="0"/>
                <w:bCs w:val="0"/>
                <w:color w:val="000000"/>
                <w:sz w:val="22"/>
                <w:szCs w:val="22"/>
              </w:rPr>
              <w:t>小时内），未将相应金额的款项支付给被拖欠工资的农民工本人，每次扣1</w:t>
            </w:r>
            <w:r>
              <w:rPr>
                <w:rFonts w:ascii="仿宋_GB2312" w:hAnsi="仿宋_GB2312" w:eastAsia="仿宋_GB2312" w:cs="仿宋_GB2312"/>
                <w:b w:val="0"/>
                <w:bCs w:val="0"/>
                <w:color w:val="000000"/>
                <w:sz w:val="22"/>
                <w:szCs w:val="22"/>
              </w:rPr>
              <w:t>0</w:t>
            </w:r>
            <w:r>
              <w:rPr>
                <w:rFonts w:hint="eastAsia" w:ascii="仿宋_GB2312" w:hAnsi="仿宋_GB2312" w:eastAsia="仿宋_GB2312" w:cs="仿宋_GB2312"/>
                <w:b w:val="0"/>
                <w:bCs w:val="0"/>
                <w:color w:val="000000"/>
                <w:sz w:val="22"/>
                <w:szCs w:val="22"/>
              </w:rPr>
              <w:t>分。</w:t>
            </w:r>
          </w:p>
        </w:tc>
        <w:tc>
          <w:tcPr>
            <w:tcW w:w="7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rPr>
            </w:pPr>
            <w:r>
              <w:rPr>
                <w:rFonts w:hint="eastAsia" w:ascii="仿宋_GB2312" w:hAnsi="仿宋_GB2312" w:eastAsia="仿宋_GB2312" w:cs="仿宋_GB2312"/>
                <w:b w:val="0"/>
                <w:bCs w:val="0"/>
                <w:color w:val="000000"/>
                <w:sz w:val="22"/>
                <w:szCs w:val="22"/>
                <w:lang w:bidi="ar"/>
              </w:rPr>
              <w:t>1</w:t>
            </w:r>
            <w:r>
              <w:rPr>
                <w:rFonts w:ascii="仿宋_GB2312" w:hAnsi="仿宋_GB2312" w:eastAsia="仿宋_GB2312" w:cs="仿宋_GB2312"/>
                <w:b w:val="0"/>
                <w:bCs w:val="0"/>
                <w:color w:val="000000"/>
                <w:sz w:val="22"/>
                <w:szCs w:val="22"/>
                <w:lang w:bidi="ar"/>
              </w:rPr>
              <w:t>0</w:t>
            </w:r>
            <w:r>
              <w:rPr>
                <w:rFonts w:hint="eastAsia" w:ascii="仿宋_GB2312" w:hAnsi="仿宋_GB2312" w:eastAsia="仿宋_GB2312" w:cs="仿宋_GB2312"/>
                <w:b w:val="0"/>
                <w:bCs w:val="0"/>
                <w:color w:val="000000"/>
                <w:sz w:val="22"/>
                <w:szCs w:val="22"/>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val="0"/>
                <w:color w:val="000000"/>
                <w:sz w:val="22"/>
                <w:szCs w:val="22"/>
                <w:lang w:eastAsia="zh-CN" w:bidi="ar"/>
              </w:rPr>
            </w:pPr>
            <w:r>
              <w:rPr>
                <w:rFonts w:hint="eastAsia" w:ascii="仿宋_GB2312" w:hAnsi="仿宋_GB2312" w:eastAsia="仿宋_GB2312" w:cs="仿宋_GB2312"/>
                <w:b w:val="0"/>
                <w:bCs w:val="0"/>
                <w:color w:val="000000"/>
                <w:sz w:val="22"/>
                <w:szCs w:val="22"/>
                <w:lang w:val="en-US" w:eastAsia="zh-CN" w:bidi="ar"/>
              </w:rPr>
              <w:t>7</w:t>
            </w:r>
          </w:p>
        </w:tc>
        <w:tc>
          <w:tcPr>
            <w:tcW w:w="834"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val="0"/>
                <w:color w:val="000000"/>
                <w:sz w:val="22"/>
                <w:szCs w:val="22"/>
                <w:lang w:bidi="ar"/>
              </w:rPr>
            </w:pPr>
          </w:p>
        </w:tc>
        <w:tc>
          <w:tcPr>
            <w:tcW w:w="16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sz w:val="22"/>
                <w:szCs w:val="22"/>
              </w:rPr>
              <w:t>负面影响</w:t>
            </w:r>
          </w:p>
        </w:tc>
        <w:tc>
          <w:tcPr>
            <w:tcW w:w="89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ind w:firstLine="440" w:firstLineChars="200"/>
              <w:textAlignment w:val="center"/>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未落实政策规定或因工作失误，</w:t>
            </w:r>
            <w:r>
              <w:rPr>
                <w:rFonts w:hint="eastAsia" w:ascii="仿宋_GB2312" w:hAnsi="仿宋_GB2312" w:eastAsia="仿宋_GB2312" w:cs="仿宋_GB2312"/>
                <w:b w:val="0"/>
                <w:bCs w:val="0"/>
                <w:color w:val="000000"/>
                <w:sz w:val="22"/>
                <w:szCs w:val="22"/>
                <w:lang w:bidi="ar"/>
              </w:rPr>
              <w:t>发生因欠薪引发的极端性事件、20人以上群体性事件，或</w:t>
            </w:r>
            <w:r>
              <w:rPr>
                <w:rFonts w:hint="eastAsia" w:ascii="仿宋_GB2312" w:hAnsi="仿宋_GB2312" w:eastAsia="仿宋_GB2312" w:cs="仿宋_GB2312"/>
                <w:b w:val="0"/>
                <w:bCs w:val="0"/>
                <w:sz w:val="22"/>
                <w:szCs w:val="22"/>
              </w:rPr>
              <w:t>有关问题被省级及以上新闻媒体报道或被国家有关部门通报批评的，相关舆论信息在网络传播造成负面影响的，扣</w:t>
            </w:r>
            <w:r>
              <w:rPr>
                <w:rFonts w:hint="eastAsia" w:ascii="仿宋_GB2312" w:hAnsi="仿宋_GB2312" w:eastAsia="仿宋_GB2312" w:cs="仿宋_GB2312"/>
                <w:b w:val="0"/>
                <w:bCs w:val="0"/>
                <w:sz w:val="22"/>
                <w:szCs w:val="22"/>
                <w:lang w:val="en-US" w:eastAsia="zh-CN"/>
              </w:rPr>
              <w:t>2</w:t>
            </w:r>
            <w:r>
              <w:rPr>
                <w:rFonts w:hint="eastAsia" w:ascii="仿宋_GB2312" w:hAnsi="仿宋_GB2312" w:eastAsia="仿宋_GB2312" w:cs="仿宋_GB2312"/>
                <w:b w:val="0"/>
                <w:bCs w:val="0"/>
                <w:sz w:val="22"/>
                <w:szCs w:val="22"/>
              </w:rPr>
              <w:t>0分。</w:t>
            </w:r>
          </w:p>
        </w:tc>
        <w:tc>
          <w:tcPr>
            <w:tcW w:w="7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rPr>
                <w:rFonts w:ascii="仿宋_GB2312" w:hAnsi="仿宋_GB2312" w:eastAsia="仿宋_GB2312" w:cs="仿宋_GB2312"/>
                <w:b w:val="0"/>
                <w:bCs w:val="0"/>
                <w:color w:val="000000"/>
                <w:sz w:val="22"/>
                <w:szCs w:val="22"/>
                <w:lang w:bidi="ar"/>
              </w:rPr>
            </w:pPr>
            <w:r>
              <w:rPr>
                <w:rFonts w:hint="eastAsia" w:ascii="仿宋_GB2312" w:hAnsi="仿宋_GB2312" w:eastAsia="仿宋_GB2312" w:cs="仿宋_GB2312"/>
                <w:b w:val="0"/>
                <w:bCs w:val="0"/>
                <w:sz w:val="22"/>
                <w:szCs w:val="22"/>
                <w:lang w:val="en-US" w:eastAsia="zh-CN"/>
              </w:rPr>
              <w:t>2</w:t>
            </w:r>
            <w:r>
              <w:rPr>
                <w:rFonts w:ascii="仿宋_GB2312" w:hAnsi="仿宋_GB2312" w:eastAsia="仿宋_GB2312" w:cs="仿宋_GB2312"/>
                <w:b w:val="0"/>
                <w:bCs w:val="0"/>
                <w:sz w:val="22"/>
                <w:szCs w:val="22"/>
              </w:rPr>
              <w:t>0</w:t>
            </w:r>
            <w:r>
              <w:rPr>
                <w:rFonts w:hint="eastAsia" w:ascii="仿宋_GB2312" w:hAnsi="仿宋_GB2312" w:eastAsia="仿宋_GB2312" w:cs="仿宋_GB2312"/>
                <w:b w:val="0"/>
                <w:bCs w:val="0"/>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说明</w:t>
            </w:r>
          </w:p>
        </w:tc>
        <w:tc>
          <w:tcPr>
            <w:tcW w:w="12156"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center"/>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1.评估结果为优秀（90分以上），合格（80分—90分），不合格（80分以下）；</w:t>
            </w:r>
          </w:p>
          <w:p>
            <w:pPr>
              <w:keepNext w:val="0"/>
              <w:keepLines w:val="0"/>
              <w:pageBreakBefore w:val="0"/>
              <w:widowControl w:val="0"/>
              <w:kinsoku/>
              <w:wordWrap/>
              <w:overflowPunct/>
              <w:topLinePunct w:val="0"/>
              <w:autoSpaceDE/>
              <w:autoSpaceDN/>
              <w:bidi w:val="0"/>
              <w:adjustRightInd/>
              <w:snapToGrid/>
              <w:spacing w:line="0" w:lineRule="atLeast"/>
              <w:textAlignment w:val="center"/>
              <w:rPr>
                <w:rFonts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w:t>
            </w:r>
            <w:r>
              <w:rPr>
                <w:rFonts w:hint="eastAsia" w:ascii="仿宋_GB2312" w:hAnsi="仿宋_GB2312" w:eastAsia="仿宋_GB2312" w:cs="仿宋_GB2312"/>
                <w:b w:val="0"/>
                <w:bCs w:val="0"/>
                <w:color w:val="000000"/>
                <w:sz w:val="22"/>
                <w:szCs w:val="22"/>
                <w:lang w:bidi="ar"/>
              </w:rPr>
              <w:t>省劳动用工大数据综合服务平台尚在开发的功能涉及的问题不扣分。</w:t>
            </w:r>
          </w:p>
        </w:tc>
      </w:tr>
    </w:tbl>
    <w:p>
      <w:pPr>
        <w:rPr>
          <w:rFonts w:ascii="仿宋" w:hAnsi="仿宋" w:eastAsia="仿宋" w:cs="仿宋"/>
          <w:b w:val="0"/>
          <w:bCs w:val="0"/>
          <w:color w:val="000000"/>
          <w:lang w:bidi="ar"/>
        </w:rPr>
      </w:pPr>
    </w:p>
    <w:p>
      <w:pPr>
        <w:pStyle w:val="2"/>
        <w:ind w:left="480"/>
        <w:rPr>
          <w:rFonts w:ascii="仿宋" w:hAnsi="仿宋" w:eastAsia="仿宋" w:cs="仿宋"/>
          <w:b w:val="0"/>
          <w:bCs w:val="0"/>
          <w:color w:val="000000"/>
          <w:lang w:bidi="ar"/>
        </w:rPr>
      </w:pPr>
    </w:p>
    <w:p>
      <w:pPr>
        <w:pStyle w:val="6"/>
        <w:rPr>
          <w:rFonts w:ascii="仿宋" w:hAnsi="仿宋" w:eastAsia="仿宋" w:cs="仿宋"/>
          <w:b w:val="0"/>
          <w:bCs w:val="0"/>
          <w:color w:val="000000"/>
          <w:sz w:val="24"/>
          <w:szCs w:val="24"/>
          <w:lang w:bidi="ar"/>
        </w:rPr>
      </w:pPr>
    </w:p>
    <w:p>
      <w:pPr>
        <w:pStyle w:val="6"/>
        <w:rPr>
          <w:rFonts w:hint="eastAsia" w:ascii="仿宋" w:hAnsi="仿宋" w:eastAsia="仿宋" w:cs="仿宋"/>
          <w:b w:val="0"/>
          <w:bCs w:val="0"/>
          <w:color w:val="000000"/>
          <w:sz w:val="24"/>
          <w:szCs w:val="24"/>
          <w:lang w:val="en-US" w:eastAsia="zh-CN" w:bidi="ar"/>
        </w:rPr>
      </w:pPr>
    </w:p>
    <w:sectPr>
      <w:headerReference r:id="rId3" w:type="default"/>
      <w:footerReference r:id="rId4" w:type="default"/>
      <w:pgSz w:w="16838" w:h="11906" w:orient="landscape"/>
      <w:pgMar w:top="1474" w:right="2098" w:bottom="1587" w:left="1984" w:header="851" w:footer="992" w:gutter="0"/>
      <w:pgBorders>
        <w:top w:val="none" w:sz="0" w:space="0"/>
        <w:left w:val="none" w:sz="0" w:space="0"/>
        <w:bottom w:val="none" w:sz="0" w:space="0"/>
        <w:right w:val="none" w:sz="0" w:space="0"/>
      </w:pgBorders>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7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hZTFkMjBjNjUyMDg2NDI3ZDMzOGFkOGExZWVlODYifQ=="/>
  </w:docVars>
  <w:rsids>
    <w:rsidRoot w:val="2CF660EB"/>
    <w:rsid w:val="000143C2"/>
    <w:rsid w:val="000D0DD0"/>
    <w:rsid w:val="00177239"/>
    <w:rsid w:val="002D4A3C"/>
    <w:rsid w:val="0051492D"/>
    <w:rsid w:val="005758C4"/>
    <w:rsid w:val="0058660E"/>
    <w:rsid w:val="005956DD"/>
    <w:rsid w:val="006F4908"/>
    <w:rsid w:val="007A5C88"/>
    <w:rsid w:val="00915B3C"/>
    <w:rsid w:val="00A33FFC"/>
    <w:rsid w:val="00AB1CBF"/>
    <w:rsid w:val="00AE7C82"/>
    <w:rsid w:val="00B36775"/>
    <w:rsid w:val="00B933A3"/>
    <w:rsid w:val="00DD1A90"/>
    <w:rsid w:val="00DF3269"/>
    <w:rsid w:val="00E3616A"/>
    <w:rsid w:val="00EA6E72"/>
    <w:rsid w:val="00EE72AB"/>
    <w:rsid w:val="00F06F97"/>
    <w:rsid w:val="00F110F2"/>
    <w:rsid w:val="00FA4A82"/>
    <w:rsid w:val="010A3637"/>
    <w:rsid w:val="0124441D"/>
    <w:rsid w:val="0129463A"/>
    <w:rsid w:val="013B4944"/>
    <w:rsid w:val="0167511D"/>
    <w:rsid w:val="016B09A5"/>
    <w:rsid w:val="018D151C"/>
    <w:rsid w:val="01924F1D"/>
    <w:rsid w:val="01971A5B"/>
    <w:rsid w:val="01B451DD"/>
    <w:rsid w:val="01B950E0"/>
    <w:rsid w:val="01C7348D"/>
    <w:rsid w:val="01CC0983"/>
    <w:rsid w:val="01D028ED"/>
    <w:rsid w:val="01D67F00"/>
    <w:rsid w:val="020D1B68"/>
    <w:rsid w:val="022B4E35"/>
    <w:rsid w:val="02346EF2"/>
    <w:rsid w:val="023A2E4D"/>
    <w:rsid w:val="0251711A"/>
    <w:rsid w:val="025927CA"/>
    <w:rsid w:val="026003DA"/>
    <w:rsid w:val="02656284"/>
    <w:rsid w:val="026E4C39"/>
    <w:rsid w:val="026E6F9B"/>
    <w:rsid w:val="027B46BA"/>
    <w:rsid w:val="028B5786"/>
    <w:rsid w:val="02A22332"/>
    <w:rsid w:val="02A94F3F"/>
    <w:rsid w:val="02C60E85"/>
    <w:rsid w:val="02E34760"/>
    <w:rsid w:val="03044B0D"/>
    <w:rsid w:val="030E51FC"/>
    <w:rsid w:val="032441B4"/>
    <w:rsid w:val="033418AF"/>
    <w:rsid w:val="03370989"/>
    <w:rsid w:val="033D5995"/>
    <w:rsid w:val="03477214"/>
    <w:rsid w:val="035B1C12"/>
    <w:rsid w:val="03A1454F"/>
    <w:rsid w:val="03C9505E"/>
    <w:rsid w:val="04222AAB"/>
    <w:rsid w:val="046C2085"/>
    <w:rsid w:val="04AD7908"/>
    <w:rsid w:val="04CC1D57"/>
    <w:rsid w:val="04DE0CE7"/>
    <w:rsid w:val="04E07EF6"/>
    <w:rsid w:val="04E20D99"/>
    <w:rsid w:val="04EB762E"/>
    <w:rsid w:val="04EF50B9"/>
    <w:rsid w:val="04F64A0A"/>
    <w:rsid w:val="04FC37A1"/>
    <w:rsid w:val="051E0804"/>
    <w:rsid w:val="05207981"/>
    <w:rsid w:val="05224BFC"/>
    <w:rsid w:val="052F26B9"/>
    <w:rsid w:val="05821F29"/>
    <w:rsid w:val="059D0B88"/>
    <w:rsid w:val="05A82DA9"/>
    <w:rsid w:val="05C73365"/>
    <w:rsid w:val="05D66987"/>
    <w:rsid w:val="05EC30D3"/>
    <w:rsid w:val="05FB47C6"/>
    <w:rsid w:val="06430CCF"/>
    <w:rsid w:val="065B5A8B"/>
    <w:rsid w:val="06C04AAF"/>
    <w:rsid w:val="06C24924"/>
    <w:rsid w:val="071326B4"/>
    <w:rsid w:val="075422A8"/>
    <w:rsid w:val="07560692"/>
    <w:rsid w:val="075C51C1"/>
    <w:rsid w:val="07732E4D"/>
    <w:rsid w:val="077F2984"/>
    <w:rsid w:val="07A61E5D"/>
    <w:rsid w:val="07BF28EF"/>
    <w:rsid w:val="07C442AC"/>
    <w:rsid w:val="07FE294F"/>
    <w:rsid w:val="081A565B"/>
    <w:rsid w:val="082B1D45"/>
    <w:rsid w:val="082E519F"/>
    <w:rsid w:val="083163A8"/>
    <w:rsid w:val="08494B4C"/>
    <w:rsid w:val="084C480E"/>
    <w:rsid w:val="085D5AE7"/>
    <w:rsid w:val="085F68CB"/>
    <w:rsid w:val="087D6B7D"/>
    <w:rsid w:val="08843074"/>
    <w:rsid w:val="08960B99"/>
    <w:rsid w:val="08A17829"/>
    <w:rsid w:val="08D31A94"/>
    <w:rsid w:val="091D0DD3"/>
    <w:rsid w:val="09243FB8"/>
    <w:rsid w:val="0926237D"/>
    <w:rsid w:val="093C14D2"/>
    <w:rsid w:val="09544F46"/>
    <w:rsid w:val="09630A79"/>
    <w:rsid w:val="09757E16"/>
    <w:rsid w:val="09793AE0"/>
    <w:rsid w:val="09954128"/>
    <w:rsid w:val="09EC729C"/>
    <w:rsid w:val="09F2223A"/>
    <w:rsid w:val="0A075F99"/>
    <w:rsid w:val="0A112E75"/>
    <w:rsid w:val="0A40028F"/>
    <w:rsid w:val="0A4266ED"/>
    <w:rsid w:val="0A4E22E2"/>
    <w:rsid w:val="0A8D3902"/>
    <w:rsid w:val="0A9A2928"/>
    <w:rsid w:val="0ABD1414"/>
    <w:rsid w:val="0AE92472"/>
    <w:rsid w:val="0B1C3A38"/>
    <w:rsid w:val="0B1F52D6"/>
    <w:rsid w:val="0B351DDD"/>
    <w:rsid w:val="0B507C3B"/>
    <w:rsid w:val="0B556294"/>
    <w:rsid w:val="0B610F77"/>
    <w:rsid w:val="0B7078E0"/>
    <w:rsid w:val="0B8645E7"/>
    <w:rsid w:val="0B991A97"/>
    <w:rsid w:val="0BA37CB5"/>
    <w:rsid w:val="0BB356BA"/>
    <w:rsid w:val="0BBE4476"/>
    <w:rsid w:val="0BC9536C"/>
    <w:rsid w:val="0BCF024A"/>
    <w:rsid w:val="0BF40511"/>
    <w:rsid w:val="0BF664CF"/>
    <w:rsid w:val="0BFB4F43"/>
    <w:rsid w:val="0C055A9A"/>
    <w:rsid w:val="0C0A3A39"/>
    <w:rsid w:val="0C3B39C0"/>
    <w:rsid w:val="0C486C86"/>
    <w:rsid w:val="0C526FE5"/>
    <w:rsid w:val="0C533D2E"/>
    <w:rsid w:val="0C550F38"/>
    <w:rsid w:val="0C65677F"/>
    <w:rsid w:val="0C7F5358"/>
    <w:rsid w:val="0C9A4C47"/>
    <w:rsid w:val="0CA07F0D"/>
    <w:rsid w:val="0CA93BF3"/>
    <w:rsid w:val="0CAA68F6"/>
    <w:rsid w:val="0D1B5AC4"/>
    <w:rsid w:val="0D224C0A"/>
    <w:rsid w:val="0D255958"/>
    <w:rsid w:val="0D49663A"/>
    <w:rsid w:val="0D4B7A3E"/>
    <w:rsid w:val="0D52039E"/>
    <w:rsid w:val="0D59106E"/>
    <w:rsid w:val="0D8B611B"/>
    <w:rsid w:val="0D951880"/>
    <w:rsid w:val="0DA03D19"/>
    <w:rsid w:val="0DE00834"/>
    <w:rsid w:val="0DFB77B4"/>
    <w:rsid w:val="0E09456F"/>
    <w:rsid w:val="0E095FAB"/>
    <w:rsid w:val="0E0D5990"/>
    <w:rsid w:val="0E222FDF"/>
    <w:rsid w:val="0E236E8B"/>
    <w:rsid w:val="0E272048"/>
    <w:rsid w:val="0E2E576B"/>
    <w:rsid w:val="0E4E42F8"/>
    <w:rsid w:val="0E5C05EF"/>
    <w:rsid w:val="0E666412"/>
    <w:rsid w:val="0E78581A"/>
    <w:rsid w:val="0E82585E"/>
    <w:rsid w:val="0EAE0E4B"/>
    <w:rsid w:val="0ECF61DB"/>
    <w:rsid w:val="0ED9508E"/>
    <w:rsid w:val="0EF371CF"/>
    <w:rsid w:val="0F2A52E3"/>
    <w:rsid w:val="0F306DE4"/>
    <w:rsid w:val="0F3269A2"/>
    <w:rsid w:val="0F7C37BA"/>
    <w:rsid w:val="0F9C7AB4"/>
    <w:rsid w:val="0F9D0C99"/>
    <w:rsid w:val="0FA52119"/>
    <w:rsid w:val="0FCA7F9E"/>
    <w:rsid w:val="0FEC5C73"/>
    <w:rsid w:val="101D7915"/>
    <w:rsid w:val="104430E9"/>
    <w:rsid w:val="10545A22"/>
    <w:rsid w:val="105F30E0"/>
    <w:rsid w:val="105F56FF"/>
    <w:rsid w:val="10701F95"/>
    <w:rsid w:val="10762F10"/>
    <w:rsid w:val="108D6AF3"/>
    <w:rsid w:val="10AC68B0"/>
    <w:rsid w:val="10B04B1B"/>
    <w:rsid w:val="10BD6C58"/>
    <w:rsid w:val="110C3C07"/>
    <w:rsid w:val="11380EA0"/>
    <w:rsid w:val="113A39D4"/>
    <w:rsid w:val="11AD5B1D"/>
    <w:rsid w:val="11CA5BA4"/>
    <w:rsid w:val="11D50CC0"/>
    <w:rsid w:val="11D718C4"/>
    <w:rsid w:val="11DA2FE8"/>
    <w:rsid w:val="11EA1432"/>
    <w:rsid w:val="11F24D23"/>
    <w:rsid w:val="120B1457"/>
    <w:rsid w:val="12144A02"/>
    <w:rsid w:val="121544E9"/>
    <w:rsid w:val="121A066B"/>
    <w:rsid w:val="12255824"/>
    <w:rsid w:val="12486CF6"/>
    <w:rsid w:val="124E4FDC"/>
    <w:rsid w:val="124E7E27"/>
    <w:rsid w:val="125B08C6"/>
    <w:rsid w:val="12636998"/>
    <w:rsid w:val="12791F2B"/>
    <w:rsid w:val="127C1672"/>
    <w:rsid w:val="127C546E"/>
    <w:rsid w:val="127C6B60"/>
    <w:rsid w:val="12951E57"/>
    <w:rsid w:val="129640D0"/>
    <w:rsid w:val="12BA704F"/>
    <w:rsid w:val="12C320B9"/>
    <w:rsid w:val="12E04D52"/>
    <w:rsid w:val="12E643B4"/>
    <w:rsid w:val="12FD448D"/>
    <w:rsid w:val="131E2395"/>
    <w:rsid w:val="13372DE6"/>
    <w:rsid w:val="133F6555"/>
    <w:rsid w:val="13426006"/>
    <w:rsid w:val="134E30B0"/>
    <w:rsid w:val="135039C1"/>
    <w:rsid w:val="136F3076"/>
    <w:rsid w:val="138A5B79"/>
    <w:rsid w:val="139D05DB"/>
    <w:rsid w:val="13AF4D1D"/>
    <w:rsid w:val="13B862C8"/>
    <w:rsid w:val="13BD11EE"/>
    <w:rsid w:val="13EF371D"/>
    <w:rsid w:val="13F111A4"/>
    <w:rsid w:val="13F82614"/>
    <w:rsid w:val="141406F9"/>
    <w:rsid w:val="141C4E20"/>
    <w:rsid w:val="141F1FB1"/>
    <w:rsid w:val="14666FBA"/>
    <w:rsid w:val="146E3AC8"/>
    <w:rsid w:val="14845B38"/>
    <w:rsid w:val="148D6135"/>
    <w:rsid w:val="14970F85"/>
    <w:rsid w:val="14A4564B"/>
    <w:rsid w:val="14C52616"/>
    <w:rsid w:val="14D9170A"/>
    <w:rsid w:val="14DD23C5"/>
    <w:rsid w:val="15165808"/>
    <w:rsid w:val="151741AB"/>
    <w:rsid w:val="152C1856"/>
    <w:rsid w:val="154128D8"/>
    <w:rsid w:val="15514B67"/>
    <w:rsid w:val="15A26985"/>
    <w:rsid w:val="15C011C6"/>
    <w:rsid w:val="15CF3257"/>
    <w:rsid w:val="15F14793"/>
    <w:rsid w:val="16025717"/>
    <w:rsid w:val="1665574D"/>
    <w:rsid w:val="167976FC"/>
    <w:rsid w:val="16871DB5"/>
    <w:rsid w:val="16C222FD"/>
    <w:rsid w:val="16C6248F"/>
    <w:rsid w:val="16CA259A"/>
    <w:rsid w:val="1718197F"/>
    <w:rsid w:val="171A0AC4"/>
    <w:rsid w:val="17240FD6"/>
    <w:rsid w:val="173A4A9B"/>
    <w:rsid w:val="17693791"/>
    <w:rsid w:val="176D72DF"/>
    <w:rsid w:val="177337A0"/>
    <w:rsid w:val="17890E62"/>
    <w:rsid w:val="17B3003A"/>
    <w:rsid w:val="17C64107"/>
    <w:rsid w:val="18085658"/>
    <w:rsid w:val="180C2561"/>
    <w:rsid w:val="18382BD2"/>
    <w:rsid w:val="185059FD"/>
    <w:rsid w:val="18904801"/>
    <w:rsid w:val="189533D6"/>
    <w:rsid w:val="18A23CBE"/>
    <w:rsid w:val="18A51708"/>
    <w:rsid w:val="18CA55C0"/>
    <w:rsid w:val="18DF765C"/>
    <w:rsid w:val="190E2A72"/>
    <w:rsid w:val="193B2175"/>
    <w:rsid w:val="19622F5E"/>
    <w:rsid w:val="19832250"/>
    <w:rsid w:val="19963E33"/>
    <w:rsid w:val="19B72B7E"/>
    <w:rsid w:val="1A0758B3"/>
    <w:rsid w:val="1A0E1C40"/>
    <w:rsid w:val="1A1B5265"/>
    <w:rsid w:val="1A2B7956"/>
    <w:rsid w:val="1A415F34"/>
    <w:rsid w:val="1A6525DA"/>
    <w:rsid w:val="1A6861EE"/>
    <w:rsid w:val="1AB57937"/>
    <w:rsid w:val="1AE31F5D"/>
    <w:rsid w:val="1AEA2F9F"/>
    <w:rsid w:val="1B01711C"/>
    <w:rsid w:val="1B3C1444"/>
    <w:rsid w:val="1B414DF5"/>
    <w:rsid w:val="1B4163FC"/>
    <w:rsid w:val="1B5930BD"/>
    <w:rsid w:val="1B651AC9"/>
    <w:rsid w:val="1B780516"/>
    <w:rsid w:val="1B793086"/>
    <w:rsid w:val="1B852BD3"/>
    <w:rsid w:val="1B9C6D0C"/>
    <w:rsid w:val="1BC115EC"/>
    <w:rsid w:val="1BC80A68"/>
    <w:rsid w:val="1BE027CE"/>
    <w:rsid w:val="1BE61EA9"/>
    <w:rsid w:val="1BFF2FB5"/>
    <w:rsid w:val="1C0E117B"/>
    <w:rsid w:val="1C114DDF"/>
    <w:rsid w:val="1C2B6C51"/>
    <w:rsid w:val="1C6B2F5E"/>
    <w:rsid w:val="1C9E0BD4"/>
    <w:rsid w:val="1CA40AA5"/>
    <w:rsid w:val="1CAD7CB8"/>
    <w:rsid w:val="1CAE08E3"/>
    <w:rsid w:val="1CF02A5E"/>
    <w:rsid w:val="1D163EA7"/>
    <w:rsid w:val="1D1A0D2A"/>
    <w:rsid w:val="1D1D59E0"/>
    <w:rsid w:val="1D344F85"/>
    <w:rsid w:val="1D430C84"/>
    <w:rsid w:val="1D517568"/>
    <w:rsid w:val="1D84721B"/>
    <w:rsid w:val="1D85665D"/>
    <w:rsid w:val="1D970C22"/>
    <w:rsid w:val="1DE008F5"/>
    <w:rsid w:val="1E182617"/>
    <w:rsid w:val="1E336153"/>
    <w:rsid w:val="1E3841A7"/>
    <w:rsid w:val="1E3E386E"/>
    <w:rsid w:val="1E4A2212"/>
    <w:rsid w:val="1E50267D"/>
    <w:rsid w:val="1E740B5D"/>
    <w:rsid w:val="1EC35A2E"/>
    <w:rsid w:val="1ECD1357"/>
    <w:rsid w:val="1ECE074D"/>
    <w:rsid w:val="1EDC6034"/>
    <w:rsid w:val="1EEC3F49"/>
    <w:rsid w:val="1F264A2D"/>
    <w:rsid w:val="1F3D0D10"/>
    <w:rsid w:val="1F5063C0"/>
    <w:rsid w:val="1F5B4551"/>
    <w:rsid w:val="1F80724E"/>
    <w:rsid w:val="1F840434"/>
    <w:rsid w:val="1F883B7E"/>
    <w:rsid w:val="20104636"/>
    <w:rsid w:val="20186208"/>
    <w:rsid w:val="201F0A46"/>
    <w:rsid w:val="202076CF"/>
    <w:rsid w:val="20210EB1"/>
    <w:rsid w:val="203547AA"/>
    <w:rsid w:val="20370213"/>
    <w:rsid w:val="2037274A"/>
    <w:rsid w:val="204206B4"/>
    <w:rsid w:val="204824A2"/>
    <w:rsid w:val="20716C4C"/>
    <w:rsid w:val="2087401D"/>
    <w:rsid w:val="2091212E"/>
    <w:rsid w:val="209156B0"/>
    <w:rsid w:val="20964463"/>
    <w:rsid w:val="20BA674D"/>
    <w:rsid w:val="20C62FB7"/>
    <w:rsid w:val="20D9299A"/>
    <w:rsid w:val="20DD1164"/>
    <w:rsid w:val="20F16441"/>
    <w:rsid w:val="21054B82"/>
    <w:rsid w:val="213963B7"/>
    <w:rsid w:val="214B077B"/>
    <w:rsid w:val="21570ECE"/>
    <w:rsid w:val="215B0FFF"/>
    <w:rsid w:val="21990A95"/>
    <w:rsid w:val="21A111BE"/>
    <w:rsid w:val="21A61CE0"/>
    <w:rsid w:val="21BD498E"/>
    <w:rsid w:val="22007F47"/>
    <w:rsid w:val="22123047"/>
    <w:rsid w:val="221D7F13"/>
    <w:rsid w:val="22345EE5"/>
    <w:rsid w:val="225002DE"/>
    <w:rsid w:val="22B42350"/>
    <w:rsid w:val="22BA6A79"/>
    <w:rsid w:val="22EA5E50"/>
    <w:rsid w:val="22FB3DBF"/>
    <w:rsid w:val="231319B3"/>
    <w:rsid w:val="234B19EE"/>
    <w:rsid w:val="23520D6B"/>
    <w:rsid w:val="237108CC"/>
    <w:rsid w:val="23903CE7"/>
    <w:rsid w:val="23A927C0"/>
    <w:rsid w:val="23AF1968"/>
    <w:rsid w:val="23B824A7"/>
    <w:rsid w:val="23C07A4C"/>
    <w:rsid w:val="23C16A1E"/>
    <w:rsid w:val="23C63F85"/>
    <w:rsid w:val="23D75D68"/>
    <w:rsid w:val="241C3CB7"/>
    <w:rsid w:val="2423391D"/>
    <w:rsid w:val="242B219E"/>
    <w:rsid w:val="2447371C"/>
    <w:rsid w:val="244905D5"/>
    <w:rsid w:val="24572E3A"/>
    <w:rsid w:val="248024EA"/>
    <w:rsid w:val="248701F5"/>
    <w:rsid w:val="248F097F"/>
    <w:rsid w:val="249C75C1"/>
    <w:rsid w:val="24A22D62"/>
    <w:rsid w:val="24BF5278"/>
    <w:rsid w:val="24CD5213"/>
    <w:rsid w:val="24D85A59"/>
    <w:rsid w:val="24E062A1"/>
    <w:rsid w:val="24FD2F09"/>
    <w:rsid w:val="252803D8"/>
    <w:rsid w:val="2544642C"/>
    <w:rsid w:val="25483049"/>
    <w:rsid w:val="25502FA2"/>
    <w:rsid w:val="25782897"/>
    <w:rsid w:val="258B307C"/>
    <w:rsid w:val="25A0096A"/>
    <w:rsid w:val="25CE197B"/>
    <w:rsid w:val="25D324C6"/>
    <w:rsid w:val="25DC2679"/>
    <w:rsid w:val="25DE19CE"/>
    <w:rsid w:val="26144D76"/>
    <w:rsid w:val="261C26E6"/>
    <w:rsid w:val="26215F4F"/>
    <w:rsid w:val="263866C9"/>
    <w:rsid w:val="26406E11"/>
    <w:rsid w:val="2677509D"/>
    <w:rsid w:val="26781458"/>
    <w:rsid w:val="268F477D"/>
    <w:rsid w:val="26A12A77"/>
    <w:rsid w:val="26E47756"/>
    <w:rsid w:val="26E75E38"/>
    <w:rsid w:val="27020819"/>
    <w:rsid w:val="27082E67"/>
    <w:rsid w:val="270B3145"/>
    <w:rsid w:val="27196659"/>
    <w:rsid w:val="27273EAA"/>
    <w:rsid w:val="273152BE"/>
    <w:rsid w:val="27463D31"/>
    <w:rsid w:val="274E68CF"/>
    <w:rsid w:val="275B0FEC"/>
    <w:rsid w:val="2778394C"/>
    <w:rsid w:val="277F2C15"/>
    <w:rsid w:val="279F465B"/>
    <w:rsid w:val="27B30881"/>
    <w:rsid w:val="27BA4C35"/>
    <w:rsid w:val="27CC49F6"/>
    <w:rsid w:val="28065350"/>
    <w:rsid w:val="280E62E4"/>
    <w:rsid w:val="28183F65"/>
    <w:rsid w:val="28375F6E"/>
    <w:rsid w:val="283E523E"/>
    <w:rsid w:val="28447CD2"/>
    <w:rsid w:val="284B20B5"/>
    <w:rsid w:val="28524FF2"/>
    <w:rsid w:val="28697EFC"/>
    <w:rsid w:val="2876620E"/>
    <w:rsid w:val="28784ABE"/>
    <w:rsid w:val="288054F2"/>
    <w:rsid w:val="28AE7467"/>
    <w:rsid w:val="28DD0B0B"/>
    <w:rsid w:val="28E76D19"/>
    <w:rsid w:val="28F7269D"/>
    <w:rsid w:val="29017971"/>
    <w:rsid w:val="29090F6A"/>
    <w:rsid w:val="290A7559"/>
    <w:rsid w:val="29283150"/>
    <w:rsid w:val="293E49D5"/>
    <w:rsid w:val="29587898"/>
    <w:rsid w:val="295B1778"/>
    <w:rsid w:val="29691D13"/>
    <w:rsid w:val="298962E5"/>
    <w:rsid w:val="299955CD"/>
    <w:rsid w:val="299B588E"/>
    <w:rsid w:val="29B87F25"/>
    <w:rsid w:val="29C27101"/>
    <w:rsid w:val="29C573CA"/>
    <w:rsid w:val="29CA2459"/>
    <w:rsid w:val="29D152CC"/>
    <w:rsid w:val="29D4797D"/>
    <w:rsid w:val="2A33336B"/>
    <w:rsid w:val="2A3C09B5"/>
    <w:rsid w:val="2A3C3357"/>
    <w:rsid w:val="2A403656"/>
    <w:rsid w:val="2A4454F4"/>
    <w:rsid w:val="2A445592"/>
    <w:rsid w:val="2A5C296B"/>
    <w:rsid w:val="2A6331B7"/>
    <w:rsid w:val="2AB807BA"/>
    <w:rsid w:val="2AB81FD6"/>
    <w:rsid w:val="2AD13F11"/>
    <w:rsid w:val="2AD33E15"/>
    <w:rsid w:val="2ADA58D3"/>
    <w:rsid w:val="2AE67D29"/>
    <w:rsid w:val="2AEC6B2B"/>
    <w:rsid w:val="2AED4108"/>
    <w:rsid w:val="2AF6185C"/>
    <w:rsid w:val="2AFE1010"/>
    <w:rsid w:val="2B2A7653"/>
    <w:rsid w:val="2B326508"/>
    <w:rsid w:val="2B4615F9"/>
    <w:rsid w:val="2B476BDD"/>
    <w:rsid w:val="2B4A2BCE"/>
    <w:rsid w:val="2B6C0DC0"/>
    <w:rsid w:val="2B745441"/>
    <w:rsid w:val="2B945D49"/>
    <w:rsid w:val="2BB13EA8"/>
    <w:rsid w:val="2BB47B6D"/>
    <w:rsid w:val="2BCC79C6"/>
    <w:rsid w:val="2BFF434E"/>
    <w:rsid w:val="2C116045"/>
    <w:rsid w:val="2C123488"/>
    <w:rsid w:val="2C276AEC"/>
    <w:rsid w:val="2C2B6408"/>
    <w:rsid w:val="2C316889"/>
    <w:rsid w:val="2C3C7F8D"/>
    <w:rsid w:val="2C50699D"/>
    <w:rsid w:val="2C593339"/>
    <w:rsid w:val="2C624BCB"/>
    <w:rsid w:val="2C836FCB"/>
    <w:rsid w:val="2CA344C7"/>
    <w:rsid w:val="2CAB6A56"/>
    <w:rsid w:val="2CCF1792"/>
    <w:rsid w:val="2CE737EA"/>
    <w:rsid w:val="2CE86F98"/>
    <w:rsid w:val="2CF660EB"/>
    <w:rsid w:val="2D123B97"/>
    <w:rsid w:val="2D2A393B"/>
    <w:rsid w:val="2D4B3B27"/>
    <w:rsid w:val="2D6E0E8A"/>
    <w:rsid w:val="2D766B80"/>
    <w:rsid w:val="2D825525"/>
    <w:rsid w:val="2D916460"/>
    <w:rsid w:val="2D9A4185"/>
    <w:rsid w:val="2D9C352C"/>
    <w:rsid w:val="2DB31655"/>
    <w:rsid w:val="2DC44DDF"/>
    <w:rsid w:val="2DDB3D97"/>
    <w:rsid w:val="2DDD3832"/>
    <w:rsid w:val="2DE23F29"/>
    <w:rsid w:val="2E005B91"/>
    <w:rsid w:val="2E162224"/>
    <w:rsid w:val="2E4F2F2D"/>
    <w:rsid w:val="2E521AF8"/>
    <w:rsid w:val="2E6A0C24"/>
    <w:rsid w:val="2E7279C7"/>
    <w:rsid w:val="2E9F1A17"/>
    <w:rsid w:val="2EB52D76"/>
    <w:rsid w:val="2ED144A4"/>
    <w:rsid w:val="2ED72664"/>
    <w:rsid w:val="2EE92469"/>
    <w:rsid w:val="2F0E5F5A"/>
    <w:rsid w:val="2F2851E2"/>
    <w:rsid w:val="2F2F348A"/>
    <w:rsid w:val="2F7A67EC"/>
    <w:rsid w:val="2FEE6EA1"/>
    <w:rsid w:val="302559B7"/>
    <w:rsid w:val="30464C53"/>
    <w:rsid w:val="30AD3C85"/>
    <w:rsid w:val="30D8437F"/>
    <w:rsid w:val="30DC1FC2"/>
    <w:rsid w:val="30E367F1"/>
    <w:rsid w:val="30F1651D"/>
    <w:rsid w:val="3107787E"/>
    <w:rsid w:val="310B56C9"/>
    <w:rsid w:val="31254187"/>
    <w:rsid w:val="315A5FA8"/>
    <w:rsid w:val="31671544"/>
    <w:rsid w:val="31861A1D"/>
    <w:rsid w:val="3188192E"/>
    <w:rsid w:val="318D2BA3"/>
    <w:rsid w:val="31BA08D4"/>
    <w:rsid w:val="31CE3314"/>
    <w:rsid w:val="31E2244E"/>
    <w:rsid w:val="31F83842"/>
    <w:rsid w:val="3235725E"/>
    <w:rsid w:val="32516BFD"/>
    <w:rsid w:val="3260423C"/>
    <w:rsid w:val="32625347"/>
    <w:rsid w:val="327F2033"/>
    <w:rsid w:val="32931F82"/>
    <w:rsid w:val="32C57C62"/>
    <w:rsid w:val="32DF6F75"/>
    <w:rsid w:val="32E60304"/>
    <w:rsid w:val="32FB3CB2"/>
    <w:rsid w:val="333D3C9C"/>
    <w:rsid w:val="333E4E52"/>
    <w:rsid w:val="336815CF"/>
    <w:rsid w:val="33875D58"/>
    <w:rsid w:val="338B0EAB"/>
    <w:rsid w:val="33A46BB1"/>
    <w:rsid w:val="33B0446E"/>
    <w:rsid w:val="33D0076F"/>
    <w:rsid w:val="33D366FE"/>
    <w:rsid w:val="33D41EEF"/>
    <w:rsid w:val="33DA540F"/>
    <w:rsid w:val="33EE0AF9"/>
    <w:rsid w:val="342139E9"/>
    <w:rsid w:val="342B64BB"/>
    <w:rsid w:val="343A31AE"/>
    <w:rsid w:val="343A64C0"/>
    <w:rsid w:val="34496CDC"/>
    <w:rsid w:val="34B507F2"/>
    <w:rsid w:val="34DA609C"/>
    <w:rsid w:val="34DF0AE6"/>
    <w:rsid w:val="34F81844"/>
    <w:rsid w:val="35073DD3"/>
    <w:rsid w:val="351E10B4"/>
    <w:rsid w:val="351F3657"/>
    <w:rsid w:val="353335A8"/>
    <w:rsid w:val="353E6972"/>
    <w:rsid w:val="3545621D"/>
    <w:rsid w:val="35486533"/>
    <w:rsid w:val="354D6114"/>
    <w:rsid w:val="354F2ABF"/>
    <w:rsid w:val="35531555"/>
    <w:rsid w:val="355965CB"/>
    <w:rsid w:val="356D266A"/>
    <w:rsid w:val="3574233E"/>
    <w:rsid w:val="358F6A29"/>
    <w:rsid w:val="359B5636"/>
    <w:rsid w:val="35A46254"/>
    <w:rsid w:val="35AC53B9"/>
    <w:rsid w:val="35B81C2A"/>
    <w:rsid w:val="35CE7942"/>
    <w:rsid w:val="35CF5418"/>
    <w:rsid w:val="35F05AE6"/>
    <w:rsid w:val="360C4694"/>
    <w:rsid w:val="363629EF"/>
    <w:rsid w:val="363D4ACF"/>
    <w:rsid w:val="363F5601"/>
    <w:rsid w:val="36525CB0"/>
    <w:rsid w:val="369242E7"/>
    <w:rsid w:val="36B210A4"/>
    <w:rsid w:val="36B71E5B"/>
    <w:rsid w:val="36D00842"/>
    <w:rsid w:val="36F630D6"/>
    <w:rsid w:val="36F75416"/>
    <w:rsid w:val="370F2FB4"/>
    <w:rsid w:val="373C5C64"/>
    <w:rsid w:val="37526CAD"/>
    <w:rsid w:val="37613BE5"/>
    <w:rsid w:val="376F0C62"/>
    <w:rsid w:val="376F5712"/>
    <w:rsid w:val="37824373"/>
    <w:rsid w:val="37826323"/>
    <w:rsid w:val="378D51F2"/>
    <w:rsid w:val="37A51FCC"/>
    <w:rsid w:val="37AD7102"/>
    <w:rsid w:val="37CE7CCE"/>
    <w:rsid w:val="37DA5F5D"/>
    <w:rsid w:val="38195A9B"/>
    <w:rsid w:val="38263E39"/>
    <w:rsid w:val="382D2B3A"/>
    <w:rsid w:val="3843747E"/>
    <w:rsid w:val="38780767"/>
    <w:rsid w:val="388633B1"/>
    <w:rsid w:val="388D4D7E"/>
    <w:rsid w:val="38B83279"/>
    <w:rsid w:val="38B85C17"/>
    <w:rsid w:val="38C8225A"/>
    <w:rsid w:val="38D45A60"/>
    <w:rsid w:val="38EE1B16"/>
    <w:rsid w:val="391C1BFC"/>
    <w:rsid w:val="391C7FA5"/>
    <w:rsid w:val="39364A4C"/>
    <w:rsid w:val="398B39B3"/>
    <w:rsid w:val="39924D42"/>
    <w:rsid w:val="39A50C7D"/>
    <w:rsid w:val="39C77178"/>
    <w:rsid w:val="39D44BF5"/>
    <w:rsid w:val="39E66047"/>
    <w:rsid w:val="3A177508"/>
    <w:rsid w:val="3A1E4E2D"/>
    <w:rsid w:val="3A4F68BF"/>
    <w:rsid w:val="3A5C6196"/>
    <w:rsid w:val="3A871DEB"/>
    <w:rsid w:val="3A875123"/>
    <w:rsid w:val="3AC14A64"/>
    <w:rsid w:val="3AD54B7E"/>
    <w:rsid w:val="3AF15251"/>
    <w:rsid w:val="3AFA5047"/>
    <w:rsid w:val="3B014630"/>
    <w:rsid w:val="3B0A6B5A"/>
    <w:rsid w:val="3B0D24A3"/>
    <w:rsid w:val="3B693880"/>
    <w:rsid w:val="3B8C64EA"/>
    <w:rsid w:val="3B917C13"/>
    <w:rsid w:val="3B9848F3"/>
    <w:rsid w:val="3BF448B2"/>
    <w:rsid w:val="3C0A5FE9"/>
    <w:rsid w:val="3C1D5730"/>
    <w:rsid w:val="3C27692D"/>
    <w:rsid w:val="3C5502A8"/>
    <w:rsid w:val="3C6978B0"/>
    <w:rsid w:val="3C7E5749"/>
    <w:rsid w:val="3C994550"/>
    <w:rsid w:val="3CBB40A3"/>
    <w:rsid w:val="3CC27157"/>
    <w:rsid w:val="3CC864EF"/>
    <w:rsid w:val="3CEE7442"/>
    <w:rsid w:val="3DA547D5"/>
    <w:rsid w:val="3DCE2318"/>
    <w:rsid w:val="3DD15550"/>
    <w:rsid w:val="3DEF6C7A"/>
    <w:rsid w:val="3E096E75"/>
    <w:rsid w:val="3E0F6AE0"/>
    <w:rsid w:val="3E1001AF"/>
    <w:rsid w:val="3E192AA2"/>
    <w:rsid w:val="3E6C04F0"/>
    <w:rsid w:val="3E740EBA"/>
    <w:rsid w:val="3ECC2AA4"/>
    <w:rsid w:val="3ED2556B"/>
    <w:rsid w:val="3EDC07EC"/>
    <w:rsid w:val="3F2C5288"/>
    <w:rsid w:val="3F436EA0"/>
    <w:rsid w:val="3F510F3D"/>
    <w:rsid w:val="3F633170"/>
    <w:rsid w:val="3F6F4E39"/>
    <w:rsid w:val="3F74525D"/>
    <w:rsid w:val="3F7A7152"/>
    <w:rsid w:val="3F95654F"/>
    <w:rsid w:val="3F9E04DF"/>
    <w:rsid w:val="3FA02A2F"/>
    <w:rsid w:val="3FA5469E"/>
    <w:rsid w:val="3FB41322"/>
    <w:rsid w:val="3FCC0009"/>
    <w:rsid w:val="3FD0239B"/>
    <w:rsid w:val="3FD15FE1"/>
    <w:rsid w:val="3FE756BB"/>
    <w:rsid w:val="3FEE291C"/>
    <w:rsid w:val="3FF16B72"/>
    <w:rsid w:val="401A15ED"/>
    <w:rsid w:val="402211B7"/>
    <w:rsid w:val="40353BDD"/>
    <w:rsid w:val="40405CFB"/>
    <w:rsid w:val="40442B0E"/>
    <w:rsid w:val="40453F14"/>
    <w:rsid w:val="40512DF9"/>
    <w:rsid w:val="4054703C"/>
    <w:rsid w:val="40660C10"/>
    <w:rsid w:val="40750671"/>
    <w:rsid w:val="40863087"/>
    <w:rsid w:val="408B5531"/>
    <w:rsid w:val="40994104"/>
    <w:rsid w:val="40B36723"/>
    <w:rsid w:val="40B656CE"/>
    <w:rsid w:val="40BA14D0"/>
    <w:rsid w:val="40BE66C8"/>
    <w:rsid w:val="40E50C0F"/>
    <w:rsid w:val="40F061CE"/>
    <w:rsid w:val="40F40F69"/>
    <w:rsid w:val="410F1193"/>
    <w:rsid w:val="4113622E"/>
    <w:rsid w:val="414140B8"/>
    <w:rsid w:val="41550BA5"/>
    <w:rsid w:val="415A6FC1"/>
    <w:rsid w:val="4164352A"/>
    <w:rsid w:val="41925CB8"/>
    <w:rsid w:val="41A534AF"/>
    <w:rsid w:val="41B34E03"/>
    <w:rsid w:val="422229AA"/>
    <w:rsid w:val="423D6497"/>
    <w:rsid w:val="42462928"/>
    <w:rsid w:val="42574C51"/>
    <w:rsid w:val="425F04AC"/>
    <w:rsid w:val="42830D09"/>
    <w:rsid w:val="42881A14"/>
    <w:rsid w:val="429550B3"/>
    <w:rsid w:val="42A25073"/>
    <w:rsid w:val="42F83F42"/>
    <w:rsid w:val="4339173D"/>
    <w:rsid w:val="434C51DE"/>
    <w:rsid w:val="435A71F7"/>
    <w:rsid w:val="435E2D55"/>
    <w:rsid w:val="438030C3"/>
    <w:rsid w:val="438715F5"/>
    <w:rsid w:val="43997CCD"/>
    <w:rsid w:val="43AE631B"/>
    <w:rsid w:val="43B4265A"/>
    <w:rsid w:val="43B9111D"/>
    <w:rsid w:val="43CB479B"/>
    <w:rsid w:val="44077890"/>
    <w:rsid w:val="44157633"/>
    <w:rsid w:val="441D3BBA"/>
    <w:rsid w:val="443609BF"/>
    <w:rsid w:val="4456505D"/>
    <w:rsid w:val="445B480C"/>
    <w:rsid w:val="445D4364"/>
    <w:rsid w:val="445F274C"/>
    <w:rsid w:val="448623A6"/>
    <w:rsid w:val="44AE03E2"/>
    <w:rsid w:val="44E17164"/>
    <w:rsid w:val="44EB7390"/>
    <w:rsid w:val="454A64DE"/>
    <w:rsid w:val="4551695C"/>
    <w:rsid w:val="45814B92"/>
    <w:rsid w:val="458C7DED"/>
    <w:rsid w:val="45DE4D0A"/>
    <w:rsid w:val="45EE01AB"/>
    <w:rsid w:val="46001285"/>
    <w:rsid w:val="46054F8C"/>
    <w:rsid w:val="4606657A"/>
    <w:rsid w:val="46125D2E"/>
    <w:rsid w:val="461670A9"/>
    <w:rsid w:val="461F5BAF"/>
    <w:rsid w:val="46205483"/>
    <w:rsid w:val="463D4084"/>
    <w:rsid w:val="464F393F"/>
    <w:rsid w:val="46582E6F"/>
    <w:rsid w:val="465F4B95"/>
    <w:rsid w:val="46621D2F"/>
    <w:rsid w:val="466312D4"/>
    <w:rsid w:val="4687678A"/>
    <w:rsid w:val="468B21B0"/>
    <w:rsid w:val="46901886"/>
    <w:rsid w:val="47145DD0"/>
    <w:rsid w:val="472B7338"/>
    <w:rsid w:val="473F61DA"/>
    <w:rsid w:val="4741469E"/>
    <w:rsid w:val="47696124"/>
    <w:rsid w:val="476C2677"/>
    <w:rsid w:val="47AA7E89"/>
    <w:rsid w:val="47AD41C5"/>
    <w:rsid w:val="47BE45D2"/>
    <w:rsid w:val="47C23F73"/>
    <w:rsid w:val="47DC362C"/>
    <w:rsid w:val="47E70F21"/>
    <w:rsid w:val="47EA3F9B"/>
    <w:rsid w:val="47EC3356"/>
    <w:rsid w:val="47ED2C22"/>
    <w:rsid w:val="47F426A6"/>
    <w:rsid w:val="482620FA"/>
    <w:rsid w:val="48384D06"/>
    <w:rsid w:val="484F3578"/>
    <w:rsid w:val="48596D1B"/>
    <w:rsid w:val="486F0D9B"/>
    <w:rsid w:val="4876735C"/>
    <w:rsid w:val="487A2335"/>
    <w:rsid w:val="487D58BC"/>
    <w:rsid w:val="48810688"/>
    <w:rsid w:val="488C725C"/>
    <w:rsid w:val="48B16866"/>
    <w:rsid w:val="48B839C8"/>
    <w:rsid w:val="48E458B4"/>
    <w:rsid w:val="48F34B5C"/>
    <w:rsid w:val="48F8017C"/>
    <w:rsid w:val="49044F85"/>
    <w:rsid w:val="492D6E14"/>
    <w:rsid w:val="49301682"/>
    <w:rsid w:val="49356D3A"/>
    <w:rsid w:val="493D5933"/>
    <w:rsid w:val="49692C03"/>
    <w:rsid w:val="496F4F04"/>
    <w:rsid w:val="497854F1"/>
    <w:rsid w:val="49AF21D0"/>
    <w:rsid w:val="49CC6A6D"/>
    <w:rsid w:val="49D92066"/>
    <w:rsid w:val="4A0975F4"/>
    <w:rsid w:val="4A1313D0"/>
    <w:rsid w:val="4A1E7F2C"/>
    <w:rsid w:val="4A2E45B3"/>
    <w:rsid w:val="4A4C5CF0"/>
    <w:rsid w:val="4A6A715E"/>
    <w:rsid w:val="4A951DEB"/>
    <w:rsid w:val="4AB32D50"/>
    <w:rsid w:val="4ABB1173"/>
    <w:rsid w:val="4AC07DF0"/>
    <w:rsid w:val="4AC206A4"/>
    <w:rsid w:val="4AC51A56"/>
    <w:rsid w:val="4AD16289"/>
    <w:rsid w:val="4AE271AB"/>
    <w:rsid w:val="4AEE40CA"/>
    <w:rsid w:val="4B0A4900"/>
    <w:rsid w:val="4B2D2D60"/>
    <w:rsid w:val="4B623C87"/>
    <w:rsid w:val="4B6B0F4E"/>
    <w:rsid w:val="4B865D4B"/>
    <w:rsid w:val="4B944949"/>
    <w:rsid w:val="4BA25BB6"/>
    <w:rsid w:val="4BB176EF"/>
    <w:rsid w:val="4BD80F56"/>
    <w:rsid w:val="4BEE1021"/>
    <w:rsid w:val="4C126A10"/>
    <w:rsid w:val="4C177EF8"/>
    <w:rsid w:val="4C3408EC"/>
    <w:rsid w:val="4C596344"/>
    <w:rsid w:val="4C5E3B9E"/>
    <w:rsid w:val="4C620B72"/>
    <w:rsid w:val="4C7622A1"/>
    <w:rsid w:val="4C8C5620"/>
    <w:rsid w:val="4CB66B41"/>
    <w:rsid w:val="4CD97B9B"/>
    <w:rsid w:val="4CDC2F1E"/>
    <w:rsid w:val="4CEC60BF"/>
    <w:rsid w:val="4CF3744D"/>
    <w:rsid w:val="4CFC05A8"/>
    <w:rsid w:val="4D0528A0"/>
    <w:rsid w:val="4D1C5547"/>
    <w:rsid w:val="4D4A2CD9"/>
    <w:rsid w:val="4D98257A"/>
    <w:rsid w:val="4DBE7C7A"/>
    <w:rsid w:val="4DC15148"/>
    <w:rsid w:val="4E052F1B"/>
    <w:rsid w:val="4E102281"/>
    <w:rsid w:val="4E163CD3"/>
    <w:rsid w:val="4E30721F"/>
    <w:rsid w:val="4E312336"/>
    <w:rsid w:val="4E433B87"/>
    <w:rsid w:val="4E46551C"/>
    <w:rsid w:val="4E4B0076"/>
    <w:rsid w:val="4E5B6531"/>
    <w:rsid w:val="4E640919"/>
    <w:rsid w:val="4E772480"/>
    <w:rsid w:val="4E776190"/>
    <w:rsid w:val="4E7B72D8"/>
    <w:rsid w:val="4E7C0FD4"/>
    <w:rsid w:val="4EAE6F1E"/>
    <w:rsid w:val="4F05325E"/>
    <w:rsid w:val="4F1A00D4"/>
    <w:rsid w:val="4F36771C"/>
    <w:rsid w:val="4F4A6107"/>
    <w:rsid w:val="4F4F3462"/>
    <w:rsid w:val="4FB11A18"/>
    <w:rsid w:val="4FCD012F"/>
    <w:rsid w:val="4FD97241"/>
    <w:rsid w:val="4FE125F3"/>
    <w:rsid w:val="4FF21C3E"/>
    <w:rsid w:val="501C3357"/>
    <w:rsid w:val="50201E0E"/>
    <w:rsid w:val="50323EE2"/>
    <w:rsid w:val="50422545"/>
    <w:rsid w:val="504B75A0"/>
    <w:rsid w:val="506B379F"/>
    <w:rsid w:val="506D2C4B"/>
    <w:rsid w:val="506E098F"/>
    <w:rsid w:val="50A849F3"/>
    <w:rsid w:val="50C07F8E"/>
    <w:rsid w:val="50D128F2"/>
    <w:rsid w:val="50E43B8B"/>
    <w:rsid w:val="50E704E3"/>
    <w:rsid w:val="51046EBB"/>
    <w:rsid w:val="511F2F07"/>
    <w:rsid w:val="51206505"/>
    <w:rsid w:val="512978E2"/>
    <w:rsid w:val="513149E8"/>
    <w:rsid w:val="51423040"/>
    <w:rsid w:val="51534180"/>
    <w:rsid w:val="51537356"/>
    <w:rsid w:val="516F5486"/>
    <w:rsid w:val="51764AF1"/>
    <w:rsid w:val="5187243F"/>
    <w:rsid w:val="51AC23B4"/>
    <w:rsid w:val="51AF2654"/>
    <w:rsid w:val="51D509C7"/>
    <w:rsid w:val="51F6090E"/>
    <w:rsid w:val="51FA753C"/>
    <w:rsid w:val="520F4C1C"/>
    <w:rsid w:val="522B1DBA"/>
    <w:rsid w:val="523A23D4"/>
    <w:rsid w:val="524542E9"/>
    <w:rsid w:val="52540B82"/>
    <w:rsid w:val="525766D1"/>
    <w:rsid w:val="5284771C"/>
    <w:rsid w:val="52A4050F"/>
    <w:rsid w:val="52B1050B"/>
    <w:rsid w:val="52EF4E3E"/>
    <w:rsid w:val="52FA1666"/>
    <w:rsid w:val="52FA7A44"/>
    <w:rsid w:val="531343F3"/>
    <w:rsid w:val="533755F4"/>
    <w:rsid w:val="53461425"/>
    <w:rsid w:val="534D68B8"/>
    <w:rsid w:val="536410A5"/>
    <w:rsid w:val="53696894"/>
    <w:rsid w:val="536C2300"/>
    <w:rsid w:val="53764C46"/>
    <w:rsid w:val="53AF78EC"/>
    <w:rsid w:val="53D70B42"/>
    <w:rsid w:val="53F856E5"/>
    <w:rsid w:val="53F96C47"/>
    <w:rsid w:val="54192BDB"/>
    <w:rsid w:val="54204B03"/>
    <w:rsid w:val="543E5026"/>
    <w:rsid w:val="544C4768"/>
    <w:rsid w:val="545C2CA3"/>
    <w:rsid w:val="545E75DE"/>
    <w:rsid w:val="546740BA"/>
    <w:rsid w:val="54B4594A"/>
    <w:rsid w:val="54D2203E"/>
    <w:rsid w:val="54D23BAE"/>
    <w:rsid w:val="54E00157"/>
    <w:rsid w:val="54EB3C8D"/>
    <w:rsid w:val="54FF6DBD"/>
    <w:rsid w:val="55063435"/>
    <w:rsid w:val="55100DE6"/>
    <w:rsid w:val="55203D56"/>
    <w:rsid w:val="55257C46"/>
    <w:rsid w:val="55457F93"/>
    <w:rsid w:val="55503BB7"/>
    <w:rsid w:val="55521D93"/>
    <w:rsid w:val="55725731"/>
    <w:rsid w:val="55794BB0"/>
    <w:rsid w:val="5582020F"/>
    <w:rsid w:val="5595041C"/>
    <w:rsid w:val="55974767"/>
    <w:rsid w:val="55AE1813"/>
    <w:rsid w:val="55B3527F"/>
    <w:rsid w:val="55C57F2D"/>
    <w:rsid w:val="55DF7BD2"/>
    <w:rsid w:val="55E3493E"/>
    <w:rsid w:val="55EB785C"/>
    <w:rsid w:val="563671D7"/>
    <w:rsid w:val="566D4D2E"/>
    <w:rsid w:val="567F3D7B"/>
    <w:rsid w:val="5684380C"/>
    <w:rsid w:val="5698604D"/>
    <w:rsid w:val="56AA3DFF"/>
    <w:rsid w:val="56B6194E"/>
    <w:rsid w:val="56B82CF9"/>
    <w:rsid w:val="56E14B30"/>
    <w:rsid w:val="56EC02ED"/>
    <w:rsid w:val="56F72230"/>
    <w:rsid w:val="5706377E"/>
    <w:rsid w:val="571E2BB3"/>
    <w:rsid w:val="57211D0C"/>
    <w:rsid w:val="5749296B"/>
    <w:rsid w:val="574A62FD"/>
    <w:rsid w:val="575835DB"/>
    <w:rsid w:val="575E7828"/>
    <w:rsid w:val="57950F3C"/>
    <w:rsid w:val="57D85BBE"/>
    <w:rsid w:val="57DD703B"/>
    <w:rsid w:val="57F36765"/>
    <w:rsid w:val="583D2201"/>
    <w:rsid w:val="58604851"/>
    <w:rsid w:val="58742F3F"/>
    <w:rsid w:val="58771A25"/>
    <w:rsid w:val="58990F00"/>
    <w:rsid w:val="589E4311"/>
    <w:rsid w:val="58C63C68"/>
    <w:rsid w:val="591E5073"/>
    <w:rsid w:val="5922632F"/>
    <w:rsid w:val="593E4F95"/>
    <w:rsid w:val="59407EBE"/>
    <w:rsid w:val="59467BC9"/>
    <w:rsid w:val="599C4F4F"/>
    <w:rsid w:val="599D70BF"/>
    <w:rsid w:val="59B7160B"/>
    <w:rsid w:val="59C07183"/>
    <w:rsid w:val="59D217F0"/>
    <w:rsid w:val="59F12720"/>
    <w:rsid w:val="5A744054"/>
    <w:rsid w:val="5A9D4422"/>
    <w:rsid w:val="5AD72886"/>
    <w:rsid w:val="5AE55938"/>
    <w:rsid w:val="5AF24133"/>
    <w:rsid w:val="5AF66214"/>
    <w:rsid w:val="5B1362FA"/>
    <w:rsid w:val="5B213CAD"/>
    <w:rsid w:val="5B2F0DEF"/>
    <w:rsid w:val="5B7A3E86"/>
    <w:rsid w:val="5BDCE321"/>
    <w:rsid w:val="5BE70AC5"/>
    <w:rsid w:val="5BFE5E0F"/>
    <w:rsid w:val="5C290D2B"/>
    <w:rsid w:val="5C32742C"/>
    <w:rsid w:val="5C747781"/>
    <w:rsid w:val="5C8D07CD"/>
    <w:rsid w:val="5C9A60A7"/>
    <w:rsid w:val="5CAF643D"/>
    <w:rsid w:val="5CC16096"/>
    <w:rsid w:val="5CE927F2"/>
    <w:rsid w:val="5D0A4601"/>
    <w:rsid w:val="5D2430FC"/>
    <w:rsid w:val="5D5623AE"/>
    <w:rsid w:val="5D5D1906"/>
    <w:rsid w:val="5D706EAD"/>
    <w:rsid w:val="5D720222"/>
    <w:rsid w:val="5DC247D5"/>
    <w:rsid w:val="5DE47FF4"/>
    <w:rsid w:val="5DEF1164"/>
    <w:rsid w:val="5DEF6118"/>
    <w:rsid w:val="5E4B246D"/>
    <w:rsid w:val="5E4B32FD"/>
    <w:rsid w:val="5E51710D"/>
    <w:rsid w:val="5E756ADB"/>
    <w:rsid w:val="5E795DE9"/>
    <w:rsid w:val="5E7B48CD"/>
    <w:rsid w:val="5E893F52"/>
    <w:rsid w:val="5EB20151"/>
    <w:rsid w:val="5EB62E36"/>
    <w:rsid w:val="5EBF429B"/>
    <w:rsid w:val="5EC64C64"/>
    <w:rsid w:val="5F1326FD"/>
    <w:rsid w:val="5F2522FD"/>
    <w:rsid w:val="5F39118E"/>
    <w:rsid w:val="5F40715E"/>
    <w:rsid w:val="5F4B1240"/>
    <w:rsid w:val="5F4F73A1"/>
    <w:rsid w:val="5F55367B"/>
    <w:rsid w:val="5F885C3C"/>
    <w:rsid w:val="5F8F4329"/>
    <w:rsid w:val="5FB213EA"/>
    <w:rsid w:val="5FBD048F"/>
    <w:rsid w:val="5FD41360"/>
    <w:rsid w:val="5FD55161"/>
    <w:rsid w:val="5FF83E08"/>
    <w:rsid w:val="600D7F37"/>
    <w:rsid w:val="60231261"/>
    <w:rsid w:val="602C4CF9"/>
    <w:rsid w:val="60542670"/>
    <w:rsid w:val="605C737C"/>
    <w:rsid w:val="607C71E0"/>
    <w:rsid w:val="60873238"/>
    <w:rsid w:val="609A4358"/>
    <w:rsid w:val="60A2038D"/>
    <w:rsid w:val="60BD0D18"/>
    <w:rsid w:val="60C35FB8"/>
    <w:rsid w:val="60D2572C"/>
    <w:rsid w:val="60D30971"/>
    <w:rsid w:val="60D66BC8"/>
    <w:rsid w:val="61235581"/>
    <w:rsid w:val="612637AD"/>
    <w:rsid w:val="612971A5"/>
    <w:rsid w:val="6165388F"/>
    <w:rsid w:val="61775758"/>
    <w:rsid w:val="61947068"/>
    <w:rsid w:val="6196502D"/>
    <w:rsid w:val="61A72690"/>
    <w:rsid w:val="61A9014D"/>
    <w:rsid w:val="61A946B5"/>
    <w:rsid w:val="61B2747F"/>
    <w:rsid w:val="61B76EA4"/>
    <w:rsid w:val="61B94B2B"/>
    <w:rsid w:val="61BA1177"/>
    <w:rsid w:val="61C471B3"/>
    <w:rsid w:val="61CA0114"/>
    <w:rsid w:val="61F26AE5"/>
    <w:rsid w:val="62130012"/>
    <w:rsid w:val="62363991"/>
    <w:rsid w:val="62441098"/>
    <w:rsid w:val="62447F2D"/>
    <w:rsid w:val="62646941"/>
    <w:rsid w:val="628306BF"/>
    <w:rsid w:val="6286304F"/>
    <w:rsid w:val="629471BE"/>
    <w:rsid w:val="62A62AFD"/>
    <w:rsid w:val="62AA63A9"/>
    <w:rsid w:val="62B138D4"/>
    <w:rsid w:val="62C67331"/>
    <w:rsid w:val="62DE3F5E"/>
    <w:rsid w:val="630F4F77"/>
    <w:rsid w:val="6315433A"/>
    <w:rsid w:val="631D05AB"/>
    <w:rsid w:val="632767C5"/>
    <w:rsid w:val="634B4390"/>
    <w:rsid w:val="636221D3"/>
    <w:rsid w:val="638637AF"/>
    <w:rsid w:val="63A770ED"/>
    <w:rsid w:val="63BF7447"/>
    <w:rsid w:val="63DC33B6"/>
    <w:rsid w:val="64195982"/>
    <w:rsid w:val="641E6C54"/>
    <w:rsid w:val="642461CD"/>
    <w:rsid w:val="64264155"/>
    <w:rsid w:val="64276F94"/>
    <w:rsid w:val="64332951"/>
    <w:rsid w:val="64412D3D"/>
    <w:rsid w:val="644D008E"/>
    <w:rsid w:val="646F4F79"/>
    <w:rsid w:val="647E6B7F"/>
    <w:rsid w:val="64813139"/>
    <w:rsid w:val="648471C8"/>
    <w:rsid w:val="648D409B"/>
    <w:rsid w:val="648F4E7A"/>
    <w:rsid w:val="64B02068"/>
    <w:rsid w:val="64B02A02"/>
    <w:rsid w:val="64D235F2"/>
    <w:rsid w:val="64EC6BCF"/>
    <w:rsid w:val="65026A97"/>
    <w:rsid w:val="6502756E"/>
    <w:rsid w:val="6591312F"/>
    <w:rsid w:val="659842DE"/>
    <w:rsid w:val="65C07076"/>
    <w:rsid w:val="65C74F1E"/>
    <w:rsid w:val="65CA21FF"/>
    <w:rsid w:val="65E25E59"/>
    <w:rsid w:val="65EE1B1B"/>
    <w:rsid w:val="661A3845"/>
    <w:rsid w:val="664400D4"/>
    <w:rsid w:val="665858E2"/>
    <w:rsid w:val="66707909"/>
    <w:rsid w:val="66C10CE2"/>
    <w:rsid w:val="66C14583"/>
    <w:rsid w:val="66CE17DD"/>
    <w:rsid w:val="66E53E53"/>
    <w:rsid w:val="66FC4B2F"/>
    <w:rsid w:val="6713269D"/>
    <w:rsid w:val="671E0EB1"/>
    <w:rsid w:val="67395D7F"/>
    <w:rsid w:val="674A5D7A"/>
    <w:rsid w:val="67684D92"/>
    <w:rsid w:val="676E5F76"/>
    <w:rsid w:val="678514DE"/>
    <w:rsid w:val="67880163"/>
    <w:rsid w:val="678F01BA"/>
    <w:rsid w:val="67C600E8"/>
    <w:rsid w:val="67D04DBA"/>
    <w:rsid w:val="67E20CD1"/>
    <w:rsid w:val="68010915"/>
    <w:rsid w:val="68040309"/>
    <w:rsid w:val="680447AD"/>
    <w:rsid w:val="680464E3"/>
    <w:rsid w:val="680E1BE2"/>
    <w:rsid w:val="6815698D"/>
    <w:rsid w:val="68351E9F"/>
    <w:rsid w:val="684C04E7"/>
    <w:rsid w:val="686E0B4E"/>
    <w:rsid w:val="6893299A"/>
    <w:rsid w:val="68AD09A1"/>
    <w:rsid w:val="68AD6E7D"/>
    <w:rsid w:val="68B2072C"/>
    <w:rsid w:val="68BB43F4"/>
    <w:rsid w:val="68C1269E"/>
    <w:rsid w:val="68CB634F"/>
    <w:rsid w:val="68D146F9"/>
    <w:rsid w:val="68DE7EB8"/>
    <w:rsid w:val="68EC5A14"/>
    <w:rsid w:val="690B3FC2"/>
    <w:rsid w:val="690B56C7"/>
    <w:rsid w:val="691C4231"/>
    <w:rsid w:val="692139C4"/>
    <w:rsid w:val="6940053A"/>
    <w:rsid w:val="699F6941"/>
    <w:rsid w:val="69A82E5A"/>
    <w:rsid w:val="69C45BAB"/>
    <w:rsid w:val="69D20AC6"/>
    <w:rsid w:val="69E2584F"/>
    <w:rsid w:val="69E85990"/>
    <w:rsid w:val="6A167E1F"/>
    <w:rsid w:val="6A4C4612"/>
    <w:rsid w:val="6A7F45BF"/>
    <w:rsid w:val="6A9E34E9"/>
    <w:rsid w:val="6AA60010"/>
    <w:rsid w:val="6AAA576B"/>
    <w:rsid w:val="6B3B6908"/>
    <w:rsid w:val="6B3E46AE"/>
    <w:rsid w:val="6B4D3628"/>
    <w:rsid w:val="6B4D7C4D"/>
    <w:rsid w:val="6B504D79"/>
    <w:rsid w:val="6B7B3943"/>
    <w:rsid w:val="6BB735CB"/>
    <w:rsid w:val="6BD66460"/>
    <w:rsid w:val="6BEC78D2"/>
    <w:rsid w:val="6BEE532D"/>
    <w:rsid w:val="6C044D31"/>
    <w:rsid w:val="6C061F17"/>
    <w:rsid w:val="6C1F4C0C"/>
    <w:rsid w:val="6C232566"/>
    <w:rsid w:val="6C525C56"/>
    <w:rsid w:val="6C807100"/>
    <w:rsid w:val="6C9065F5"/>
    <w:rsid w:val="6CA32E6A"/>
    <w:rsid w:val="6CB33EDF"/>
    <w:rsid w:val="6CC81B27"/>
    <w:rsid w:val="6CED6D6C"/>
    <w:rsid w:val="6CFA29E8"/>
    <w:rsid w:val="6D217E15"/>
    <w:rsid w:val="6D2313F7"/>
    <w:rsid w:val="6D2A6A64"/>
    <w:rsid w:val="6D2C73C4"/>
    <w:rsid w:val="6D30125D"/>
    <w:rsid w:val="6D583DBA"/>
    <w:rsid w:val="6D604656"/>
    <w:rsid w:val="6D8D3458"/>
    <w:rsid w:val="6D9926D3"/>
    <w:rsid w:val="6D9B170F"/>
    <w:rsid w:val="6DB15C41"/>
    <w:rsid w:val="6DB404AC"/>
    <w:rsid w:val="6DDC33BD"/>
    <w:rsid w:val="6E080522"/>
    <w:rsid w:val="6E0E200D"/>
    <w:rsid w:val="6E1C2082"/>
    <w:rsid w:val="6E272EE1"/>
    <w:rsid w:val="6E380D18"/>
    <w:rsid w:val="6E3B5B86"/>
    <w:rsid w:val="6E9C0D47"/>
    <w:rsid w:val="6EA94BF3"/>
    <w:rsid w:val="6EB10B61"/>
    <w:rsid w:val="6EB147EF"/>
    <w:rsid w:val="6EB15EFC"/>
    <w:rsid w:val="6EE92AD1"/>
    <w:rsid w:val="6EEC3F96"/>
    <w:rsid w:val="6F0C1224"/>
    <w:rsid w:val="6F105B0A"/>
    <w:rsid w:val="6F2D1F1D"/>
    <w:rsid w:val="6F3E1D7B"/>
    <w:rsid w:val="6F4F2855"/>
    <w:rsid w:val="6F596EEC"/>
    <w:rsid w:val="6F7136FA"/>
    <w:rsid w:val="6F7B2824"/>
    <w:rsid w:val="6F98365C"/>
    <w:rsid w:val="6FBB17E9"/>
    <w:rsid w:val="6FCA62DC"/>
    <w:rsid w:val="6FE05DA4"/>
    <w:rsid w:val="6FE53136"/>
    <w:rsid w:val="6FE7461B"/>
    <w:rsid w:val="6FFC112D"/>
    <w:rsid w:val="701F5648"/>
    <w:rsid w:val="70227EC6"/>
    <w:rsid w:val="702A7C2C"/>
    <w:rsid w:val="705C3CDC"/>
    <w:rsid w:val="7067757F"/>
    <w:rsid w:val="707A7B96"/>
    <w:rsid w:val="7095703D"/>
    <w:rsid w:val="709942EA"/>
    <w:rsid w:val="70BD31D7"/>
    <w:rsid w:val="710C4DAD"/>
    <w:rsid w:val="713071C9"/>
    <w:rsid w:val="7143004D"/>
    <w:rsid w:val="714C5CD7"/>
    <w:rsid w:val="71556BFD"/>
    <w:rsid w:val="71594FC8"/>
    <w:rsid w:val="715D59B7"/>
    <w:rsid w:val="71606042"/>
    <w:rsid w:val="716871F7"/>
    <w:rsid w:val="71815737"/>
    <w:rsid w:val="718B7DF0"/>
    <w:rsid w:val="718F7435"/>
    <w:rsid w:val="71930A7B"/>
    <w:rsid w:val="71A02FB4"/>
    <w:rsid w:val="71A339CC"/>
    <w:rsid w:val="71B07934"/>
    <w:rsid w:val="71B81BC8"/>
    <w:rsid w:val="71CE5AA5"/>
    <w:rsid w:val="71D36A86"/>
    <w:rsid w:val="71D42CE4"/>
    <w:rsid w:val="71DC3C86"/>
    <w:rsid w:val="71EF10B4"/>
    <w:rsid w:val="721140DE"/>
    <w:rsid w:val="72243A0B"/>
    <w:rsid w:val="72726CB7"/>
    <w:rsid w:val="72B42A35"/>
    <w:rsid w:val="72CA4FEF"/>
    <w:rsid w:val="72F00482"/>
    <w:rsid w:val="72F275EB"/>
    <w:rsid w:val="73014A21"/>
    <w:rsid w:val="73263829"/>
    <w:rsid w:val="73683E42"/>
    <w:rsid w:val="736E25DE"/>
    <w:rsid w:val="7375663E"/>
    <w:rsid w:val="73902323"/>
    <w:rsid w:val="73B74CE3"/>
    <w:rsid w:val="73D02B91"/>
    <w:rsid w:val="73D17C39"/>
    <w:rsid w:val="73D47729"/>
    <w:rsid w:val="73F0094D"/>
    <w:rsid w:val="73F44A83"/>
    <w:rsid w:val="7426539B"/>
    <w:rsid w:val="742945D9"/>
    <w:rsid w:val="743C4595"/>
    <w:rsid w:val="74425168"/>
    <w:rsid w:val="745A5E80"/>
    <w:rsid w:val="745B35F4"/>
    <w:rsid w:val="74991228"/>
    <w:rsid w:val="74A11C19"/>
    <w:rsid w:val="74C81B0A"/>
    <w:rsid w:val="74D04DE6"/>
    <w:rsid w:val="74E61D2C"/>
    <w:rsid w:val="74FF39E6"/>
    <w:rsid w:val="751F712C"/>
    <w:rsid w:val="75283635"/>
    <w:rsid w:val="7540434E"/>
    <w:rsid w:val="75534DB4"/>
    <w:rsid w:val="7556268A"/>
    <w:rsid w:val="755E1707"/>
    <w:rsid w:val="755F711D"/>
    <w:rsid w:val="758C63CD"/>
    <w:rsid w:val="75954C96"/>
    <w:rsid w:val="75B21585"/>
    <w:rsid w:val="76036C2E"/>
    <w:rsid w:val="762105E0"/>
    <w:rsid w:val="762E2396"/>
    <w:rsid w:val="764F753B"/>
    <w:rsid w:val="76A5598B"/>
    <w:rsid w:val="76A84E99"/>
    <w:rsid w:val="76D150F3"/>
    <w:rsid w:val="76EC003D"/>
    <w:rsid w:val="77135EBF"/>
    <w:rsid w:val="7715135C"/>
    <w:rsid w:val="773A3D47"/>
    <w:rsid w:val="773B0245"/>
    <w:rsid w:val="776128DB"/>
    <w:rsid w:val="77870E69"/>
    <w:rsid w:val="77935205"/>
    <w:rsid w:val="779810CD"/>
    <w:rsid w:val="77E31CE9"/>
    <w:rsid w:val="78015AB2"/>
    <w:rsid w:val="780314D0"/>
    <w:rsid w:val="78186E9F"/>
    <w:rsid w:val="78255399"/>
    <w:rsid w:val="782A1EDE"/>
    <w:rsid w:val="7838772E"/>
    <w:rsid w:val="784A1719"/>
    <w:rsid w:val="78554639"/>
    <w:rsid w:val="785C0DA6"/>
    <w:rsid w:val="78AF1A8A"/>
    <w:rsid w:val="78E4713B"/>
    <w:rsid w:val="78F043B6"/>
    <w:rsid w:val="78F819B7"/>
    <w:rsid w:val="791757A3"/>
    <w:rsid w:val="792A3040"/>
    <w:rsid w:val="79453FBD"/>
    <w:rsid w:val="795F40F3"/>
    <w:rsid w:val="79620C09"/>
    <w:rsid w:val="79646F9C"/>
    <w:rsid w:val="7978379C"/>
    <w:rsid w:val="79864349"/>
    <w:rsid w:val="798E5D46"/>
    <w:rsid w:val="798F43D5"/>
    <w:rsid w:val="79DD70D2"/>
    <w:rsid w:val="79EC4BA8"/>
    <w:rsid w:val="79F34DDA"/>
    <w:rsid w:val="7A2B6094"/>
    <w:rsid w:val="7A2F0100"/>
    <w:rsid w:val="7A532D7A"/>
    <w:rsid w:val="7A6E1D5D"/>
    <w:rsid w:val="7A7D73B0"/>
    <w:rsid w:val="7A8C0371"/>
    <w:rsid w:val="7AAA0B3B"/>
    <w:rsid w:val="7AAA2F92"/>
    <w:rsid w:val="7AB95A44"/>
    <w:rsid w:val="7ABA778B"/>
    <w:rsid w:val="7AE45A23"/>
    <w:rsid w:val="7AEF06D2"/>
    <w:rsid w:val="7B097BE7"/>
    <w:rsid w:val="7B120065"/>
    <w:rsid w:val="7B2A402A"/>
    <w:rsid w:val="7B6E2C95"/>
    <w:rsid w:val="7B794106"/>
    <w:rsid w:val="7B964FC7"/>
    <w:rsid w:val="7BB67502"/>
    <w:rsid w:val="7BD04C7A"/>
    <w:rsid w:val="7C077A28"/>
    <w:rsid w:val="7C2372B0"/>
    <w:rsid w:val="7C4D3906"/>
    <w:rsid w:val="7CA91B0B"/>
    <w:rsid w:val="7CCB6CBB"/>
    <w:rsid w:val="7CF5705C"/>
    <w:rsid w:val="7CF60710"/>
    <w:rsid w:val="7CF81BFE"/>
    <w:rsid w:val="7CFE2D4B"/>
    <w:rsid w:val="7D11109F"/>
    <w:rsid w:val="7D395B00"/>
    <w:rsid w:val="7D41380B"/>
    <w:rsid w:val="7D5247DC"/>
    <w:rsid w:val="7D713CCD"/>
    <w:rsid w:val="7D731D61"/>
    <w:rsid w:val="7D932F89"/>
    <w:rsid w:val="7D9D2626"/>
    <w:rsid w:val="7DC43BE8"/>
    <w:rsid w:val="7DC5248B"/>
    <w:rsid w:val="7DCE25A4"/>
    <w:rsid w:val="7DCE4F19"/>
    <w:rsid w:val="7DE31EAF"/>
    <w:rsid w:val="7E1E3520"/>
    <w:rsid w:val="7E356287"/>
    <w:rsid w:val="7E517422"/>
    <w:rsid w:val="7E5D2ED8"/>
    <w:rsid w:val="7E707BBB"/>
    <w:rsid w:val="7E91583B"/>
    <w:rsid w:val="7ECE0038"/>
    <w:rsid w:val="7F013261"/>
    <w:rsid w:val="7F154ADA"/>
    <w:rsid w:val="7F4903CF"/>
    <w:rsid w:val="7F5E3D14"/>
    <w:rsid w:val="7F667E42"/>
    <w:rsid w:val="7F673A0F"/>
    <w:rsid w:val="7F8D7C83"/>
    <w:rsid w:val="7F9F196E"/>
    <w:rsid w:val="7FF6404B"/>
    <w:rsid w:val="A3770183"/>
    <w:rsid w:val="DEF74BFC"/>
    <w:rsid w:val="F56FB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3">
    <w:name w:val="heading 1"/>
    <w:basedOn w:val="1"/>
    <w:next w:val="1"/>
    <w:link w:val="22"/>
    <w:qFormat/>
    <w:uiPriority w:val="0"/>
    <w:pPr>
      <w:keepNext/>
      <w:keepLines/>
      <w:spacing w:before="340" w:after="330" w:line="576" w:lineRule="auto"/>
      <w:outlineLvl w:val="0"/>
    </w:pPr>
    <w:rPr>
      <w:b/>
      <w:kern w:val="44"/>
      <w:sz w:val="44"/>
    </w:rPr>
  </w:style>
  <w:style w:type="paragraph" w:styleId="4">
    <w:name w:val="heading 2"/>
    <w:basedOn w:val="1"/>
    <w:next w:val="1"/>
    <w:link w:val="23"/>
    <w:semiHidden/>
    <w:unhideWhenUsed/>
    <w:qFormat/>
    <w:uiPriority w:val="0"/>
    <w:pPr>
      <w:keepNext/>
      <w:keepLines/>
      <w:spacing w:before="260" w:after="260" w:line="413" w:lineRule="auto"/>
      <w:outlineLvl w:val="1"/>
    </w:pPr>
    <w:rPr>
      <w:rFonts w:ascii="Arial" w:hAnsi="Arial" w:eastAsia="黑体"/>
      <w:b/>
      <w:sz w:val="32"/>
    </w:rPr>
  </w:style>
  <w:style w:type="paragraph" w:styleId="5">
    <w:name w:val="heading 5"/>
    <w:basedOn w:val="1"/>
    <w:next w:val="6"/>
    <w:qFormat/>
    <w:uiPriority w:val="99"/>
    <w:pPr>
      <w:keepNext/>
      <w:keepLines/>
      <w:tabs>
        <w:tab w:val="left" w:pos="1008"/>
      </w:tabs>
      <w:autoSpaceDE w:val="0"/>
      <w:autoSpaceDN w:val="0"/>
      <w:adjustRightInd w:val="0"/>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6">
    <w:name w:val="Body Text"/>
    <w:basedOn w:val="1"/>
    <w:unhideWhenUsed/>
    <w:qFormat/>
    <w:uiPriority w:val="99"/>
    <w:pPr>
      <w:spacing w:after="120"/>
    </w:pPr>
    <w:rPr>
      <w:sz w:val="20"/>
      <w:szCs w:val="20"/>
    </w:rPr>
  </w:style>
  <w:style w:type="paragraph" w:styleId="7">
    <w:name w:val="Body Text Indent"/>
    <w:basedOn w:val="1"/>
    <w:qFormat/>
    <w:uiPriority w:val="0"/>
    <w:pPr>
      <w:spacing w:line="380" w:lineRule="exact"/>
      <w:ind w:firstLine="480"/>
    </w:pPr>
    <w:rPr>
      <w:rFonts w:eastAsia="方正书宋简体"/>
      <w:szCs w:val="20"/>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rFonts w:ascii="宋体" w:hAnsi="宋体" w:cs="宋体"/>
    </w:rPr>
  </w:style>
  <w:style w:type="paragraph" w:styleId="11">
    <w:name w:val="Body Text First Indent 2"/>
    <w:basedOn w:val="7"/>
    <w:unhideWhenUsed/>
    <w:qFormat/>
    <w:uiPriority w:val="0"/>
    <w:pPr>
      <w:ind w:firstLine="560"/>
    </w:pPr>
    <w:rPr>
      <w:color w:val="FF0000"/>
      <w:sz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style>
  <w:style w:type="character" w:styleId="16">
    <w:name w:val="HTML Cite"/>
    <w:basedOn w:val="14"/>
    <w:qFormat/>
    <w:uiPriority w:val="0"/>
  </w:style>
  <w:style w:type="paragraph" w:customStyle="1" w:styleId="17">
    <w:name w:val="D标题5"/>
    <w:basedOn w:val="5"/>
    <w:next w:val="18"/>
    <w:qFormat/>
    <w:uiPriority w:val="0"/>
    <w:pPr>
      <w:spacing w:before="100" w:after="100"/>
    </w:pPr>
    <w:rPr>
      <w:rFonts w:eastAsia="黑体"/>
      <w:bCs w:val="0"/>
      <w:szCs w:val="20"/>
    </w:rPr>
  </w:style>
  <w:style w:type="paragraph" w:customStyle="1" w:styleId="18">
    <w:name w:val="D正文"/>
    <w:basedOn w:val="11"/>
    <w:qFormat/>
    <w:uiPriority w:val="0"/>
  </w:style>
  <w:style w:type="character" w:customStyle="1" w:styleId="19">
    <w:name w:val="browse_class"/>
    <w:qFormat/>
    <w:uiPriority w:val="0"/>
  </w:style>
  <w:style w:type="character" w:customStyle="1" w:styleId="20">
    <w:name w:val="font51"/>
    <w:basedOn w:val="14"/>
    <w:qFormat/>
    <w:uiPriority w:val="0"/>
    <w:rPr>
      <w:rFonts w:hint="eastAsia" w:ascii="仿宋" w:hAnsi="仿宋" w:eastAsia="仿宋" w:cs="仿宋"/>
      <w:color w:val="000000"/>
      <w:sz w:val="40"/>
      <w:szCs w:val="40"/>
      <w:u w:val="none"/>
    </w:rPr>
  </w:style>
  <w:style w:type="character" w:customStyle="1" w:styleId="21">
    <w:name w:val="font01"/>
    <w:basedOn w:val="14"/>
    <w:qFormat/>
    <w:uiPriority w:val="0"/>
    <w:rPr>
      <w:rFonts w:hint="eastAsia" w:ascii="仿宋" w:hAnsi="仿宋" w:eastAsia="仿宋" w:cs="仿宋"/>
      <w:color w:val="000000"/>
      <w:sz w:val="40"/>
      <w:szCs w:val="40"/>
      <w:u w:val="single"/>
    </w:rPr>
  </w:style>
  <w:style w:type="character" w:customStyle="1" w:styleId="22">
    <w:name w:val="标题 1 字符"/>
    <w:link w:val="3"/>
    <w:qFormat/>
    <w:uiPriority w:val="0"/>
    <w:rPr>
      <w:b/>
      <w:kern w:val="44"/>
      <w:sz w:val="44"/>
    </w:rPr>
  </w:style>
  <w:style w:type="character" w:customStyle="1" w:styleId="23">
    <w:name w:val="标题 2 字符"/>
    <w:link w:val="4"/>
    <w:qFormat/>
    <w:uiPriority w:val="0"/>
    <w:rPr>
      <w:rFonts w:ascii="Arial" w:hAnsi="Arial" w:eastAsia="黑体"/>
      <w:b/>
      <w:sz w:val="32"/>
    </w:rPr>
  </w:style>
  <w:style w:type="character" w:customStyle="1" w:styleId="24">
    <w:name w:val="bsharetext"/>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4359</Words>
  <Characters>4483</Characters>
  <Lines>32</Lines>
  <Paragraphs>9</Paragraphs>
  <TotalTime>19</TotalTime>
  <ScaleCrop>false</ScaleCrop>
  <LinksUpToDate>false</LinksUpToDate>
  <CharactersWithSpaces>4545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2023-04-18T03:19:00Z</dcterms:created>
  <dc:creator>秋儿1413978724</dc:creator>
  <cp:lastModifiedBy>Lenovo</cp:lastModifiedBy>
  <cp:lastPrinted>2023-05-04T08:37:00Z</cp:lastPrinted>
  <dcterms:modified xsi:type="dcterms:W3CDTF">2023-05-05T08:38:11Z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03BA361F726141AAA20918C69ABF3EFF_13</vt:lpwstr>
  </property>
</Properties>
</file>