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宋体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28"/>
          <w:lang w:val="en-US" w:eastAsia="zh-CN"/>
        </w:rPr>
        <w:t>1</w:t>
      </w:r>
    </w:p>
    <w:p>
      <w:pPr>
        <w:spacing w:line="240" w:lineRule="exact"/>
        <w:rPr>
          <w:rFonts w:ascii="黑体" w:hAnsi="黑体" w:eastAsia="黑体" w:cs="宋体"/>
          <w:kern w:val="0"/>
          <w:sz w:val="32"/>
          <w:szCs w:val="28"/>
        </w:rPr>
      </w:pP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各地、各有关部门（单位）推荐任务分配表</w:t>
      </w:r>
    </w:p>
    <w:tbl>
      <w:tblPr>
        <w:tblStyle w:val="17"/>
        <w:tblpPr w:leftFromText="180" w:rightFromText="180" w:vertAnchor="text" w:horzAnchor="margin" w:tblpY="48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58"/>
        <w:gridCol w:w="1722"/>
        <w:gridCol w:w="1083"/>
        <w:gridCol w:w="725"/>
        <w:gridCol w:w="598"/>
        <w:gridCol w:w="243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名额/人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名额/人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贵阳市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spacing w:val="-2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kern w:val="0"/>
                <w:szCs w:val="21"/>
              </w:rPr>
              <w:t>省卫生健康委</w:t>
            </w:r>
          </w:p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spacing w:val="-2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kern w:val="0"/>
                <w:szCs w:val="21"/>
              </w:rPr>
              <w:t>(</w:t>
            </w:r>
            <w:r>
              <w:rPr>
                <w:rFonts w:hint="eastAsia" w:cs="宋体" w:asciiTheme="majorEastAsia" w:hAnsiTheme="majorEastAsia" w:eastAsiaTheme="majorEastAsia"/>
                <w:spacing w:val="-2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ajorEastAsia" w:hAnsiTheme="majorEastAsia" w:eastAsiaTheme="majorEastAsia"/>
                <w:spacing w:val="-20"/>
                <w:kern w:val="0"/>
                <w:szCs w:val="21"/>
              </w:rPr>
              <w:t>人</w:t>
            </w:r>
            <w:r>
              <w:rPr>
                <w:rFonts w:cs="宋体" w:asciiTheme="majorEastAsia" w:hAnsiTheme="majorEastAsia" w:eastAsiaTheme="majorEastAsia"/>
                <w:spacing w:val="-20"/>
                <w:kern w:val="0"/>
                <w:szCs w:val="21"/>
              </w:rPr>
              <w:t>)</w:t>
            </w:r>
          </w:p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贵州省人民医院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遵义市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贵州医科大学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附属医院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3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六盘水市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遵义医科大学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附属医院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4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安顺市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贵州中医药大学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第一附属医院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5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毕节市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贵州中医药大学</w:t>
            </w:r>
          </w:p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第二附属医院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6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铜仁市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省国资委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7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黔南州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省委军民融合办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8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黔东南州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省农业农村厅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9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黔西南州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省生态环境厅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0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kern w:val="0"/>
                <w:szCs w:val="21"/>
              </w:rPr>
              <w:t>省教育厅</w:t>
            </w:r>
            <w:r>
              <w:rPr>
                <w:rFonts w:hint="eastAsia" w:cs="宋体" w:asciiTheme="majorEastAsia" w:hAnsiTheme="majorEastAsia" w:eastAsiaTheme="majorEastAsia"/>
                <w:spacing w:val="-23"/>
                <w:kern w:val="0"/>
                <w:szCs w:val="21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spacing w:val="-23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cs="宋体" w:asciiTheme="majorEastAsia" w:hAnsiTheme="majorEastAsia" w:eastAsiaTheme="majorEastAsia"/>
                <w:spacing w:val="-23"/>
                <w:kern w:val="0"/>
                <w:szCs w:val="21"/>
              </w:rPr>
              <w:t>人）</w:t>
            </w: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贵州大学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3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省交通运输厅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贵州师范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大学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省水利厅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贵州财经大学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省文化和旅游厅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3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贵州民族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大学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省农业科学院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4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贵州医科大学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贵州科学院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5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贵州中医药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大学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中科院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地化所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6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遵义医科大学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7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贵州理工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学院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30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18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贵阳师范学院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30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19</w:t>
            </w:r>
          </w:p>
        </w:tc>
        <w:tc>
          <w:tcPr>
            <w:tcW w:w="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贵州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商学院</w:t>
            </w:r>
          </w:p>
        </w:tc>
        <w:tc>
          <w:tcPr>
            <w:tcW w:w="1083" w:type="dxa"/>
            <w:tcBorders>
              <w:righ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725" w:type="dxa"/>
            <w:tcBorders>
              <w:left w:val="doub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30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140"/>
        <w:jc w:val="right"/>
        <w:textAlignment w:val="auto"/>
        <w:outlineLvl w:val="9"/>
      </w:pPr>
    </w:p>
    <w:sectPr>
      <w:footerReference r:id="rId3" w:type="default"/>
      <w:footerReference r:id="rId4" w:type="even"/>
      <w:pgSz w:w="11906" w:h="16838"/>
      <w:pgMar w:top="1474" w:right="1474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B"/>
    <w:rsid w:val="0000256D"/>
    <w:rsid w:val="00005099"/>
    <w:rsid w:val="00006AF1"/>
    <w:rsid w:val="00010843"/>
    <w:rsid w:val="0001129A"/>
    <w:rsid w:val="0001136F"/>
    <w:rsid w:val="00037D56"/>
    <w:rsid w:val="00040EF1"/>
    <w:rsid w:val="000412A7"/>
    <w:rsid w:val="00054642"/>
    <w:rsid w:val="0005744D"/>
    <w:rsid w:val="00066FE5"/>
    <w:rsid w:val="00070BB5"/>
    <w:rsid w:val="00077310"/>
    <w:rsid w:val="00082164"/>
    <w:rsid w:val="0008247B"/>
    <w:rsid w:val="00085908"/>
    <w:rsid w:val="00085CDE"/>
    <w:rsid w:val="00094616"/>
    <w:rsid w:val="000A061E"/>
    <w:rsid w:val="000A7176"/>
    <w:rsid w:val="000A723C"/>
    <w:rsid w:val="000B3DBF"/>
    <w:rsid w:val="000B5C69"/>
    <w:rsid w:val="000C6B04"/>
    <w:rsid w:val="000D4B80"/>
    <w:rsid w:val="000E5E91"/>
    <w:rsid w:val="000F026C"/>
    <w:rsid w:val="000F130B"/>
    <w:rsid w:val="000F67D2"/>
    <w:rsid w:val="000F7ED4"/>
    <w:rsid w:val="0010364E"/>
    <w:rsid w:val="0010582E"/>
    <w:rsid w:val="001117A1"/>
    <w:rsid w:val="0011240F"/>
    <w:rsid w:val="00114EC6"/>
    <w:rsid w:val="001254A7"/>
    <w:rsid w:val="00132C40"/>
    <w:rsid w:val="00137C42"/>
    <w:rsid w:val="001402B1"/>
    <w:rsid w:val="001408F8"/>
    <w:rsid w:val="00141788"/>
    <w:rsid w:val="0015102D"/>
    <w:rsid w:val="0015156A"/>
    <w:rsid w:val="00157C97"/>
    <w:rsid w:val="00165E3E"/>
    <w:rsid w:val="00175717"/>
    <w:rsid w:val="00185BD8"/>
    <w:rsid w:val="00193115"/>
    <w:rsid w:val="00196391"/>
    <w:rsid w:val="001A44FF"/>
    <w:rsid w:val="001B065C"/>
    <w:rsid w:val="001B0DFC"/>
    <w:rsid w:val="001B2580"/>
    <w:rsid w:val="001B4081"/>
    <w:rsid w:val="001B5FAB"/>
    <w:rsid w:val="001B7A6D"/>
    <w:rsid w:val="001C047E"/>
    <w:rsid w:val="001C0C78"/>
    <w:rsid w:val="001C23EC"/>
    <w:rsid w:val="001C4502"/>
    <w:rsid w:val="001D2A8A"/>
    <w:rsid w:val="001D596B"/>
    <w:rsid w:val="001E0C66"/>
    <w:rsid w:val="001E30E0"/>
    <w:rsid w:val="001E521D"/>
    <w:rsid w:val="0020171F"/>
    <w:rsid w:val="002057B8"/>
    <w:rsid w:val="00210E28"/>
    <w:rsid w:val="002170BA"/>
    <w:rsid w:val="00220263"/>
    <w:rsid w:val="00232A61"/>
    <w:rsid w:val="00236BC2"/>
    <w:rsid w:val="00244946"/>
    <w:rsid w:val="002466CE"/>
    <w:rsid w:val="0025452F"/>
    <w:rsid w:val="00257D6B"/>
    <w:rsid w:val="00270D65"/>
    <w:rsid w:val="002715DC"/>
    <w:rsid w:val="00277BBA"/>
    <w:rsid w:val="00280B5C"/>
    <w:rsid w:val="00292382"/>
    <w:rsid w:val="002D04F1"/>
    <w:rsid w:val="002D131B"/>
    <w:rsid w:val="00333E02"/>
    <w:rsid w:val="00344366"/>
    <w:rsid w:val="00363247"/>
    <w:rsid w:val="003715FF"/>
    <w:rsid w:val="00373032"/>
    <w:rsid w:val="003945BC"/>
    <w:rsid w:val="00397E65"/>
    <w:rsid w:val="003A1C60"/>
    <w:rsid w:val="003A7104"/>
    <w:rsid w:val="003B2D0C"/>
    <w:rsid w:val="003C19DE"/>
    <w:rsid w:val="003C26F1"/>
    <w:rsid w:val="003C3536"/>
    <w:rsid w:val="003E00D1"/>
    <w:rsid w:val="003E013D"/>
    <w:rsid w:val="003E4FE5"/>
    <w:rsid w:val="003F3432"/>
    <w:rsid w:val="003F7134"/>
    <w:rsid w:val="0040106F"/>
    <w:rsid w:val="00407244"/>
    <w:rsid w:val="00410162"/>
    <w:rsid w:val="004106ED"/>
    <w:rsid w:val="004206AA"/>
    <w:rsid w:val="00422FD3"/>
    <w:rsid w:val="00424B36"/>
    <w:rsid w:val="00427C71"/>
    <w:rsid w:val="004349AB"/>
    <w:rsid w:val="00436328"/>
    <w:rsid w:val="00443CAB"/>
    <w:rsid w:val="0044639A"/>
    <w:rsid w:val="00450E0D"/>
    <w:rsid w:val="00450E14"/>
    <w:rsid w:val="00454EB8"/>
    <w:rsid w:val="00484638"/>
    <w:rsid w:val="004860AA"/>
    <w:rsid w:val="004A1D0A"/>
    <w:rsid w:val="004A337C"/>
    <w:rsid w:val="004A44CE"/>
    <w:rsid w:val="004A598D"/>
    <w:rsid w:val="004B68B8"/>
    <w:rsid w:val="004B6F5D"/>
    <w:rsid w:val="004C1B19"/>
    <w:rsid w:val="004C767B"/>
    <w:rsid w:val="004D427E"/>
    <w:rsid w:val="004D5057"/>
    <w:rsid w:val="004D7067"/>
    <w:rsid w:val="004D71CD"/>
    <w:rsid w:val="004E1B50"/>
    <w:rsid w:val="004E4882"/>
    <w:rsid w:val="004F6B59"/>
    <w:rsid w:val="004F7677"/>
    <w:rsid w:val="00501E5E"/>
    <w:rsid w:val="005033C2"/>
    <w:rsid w:val="00514460"/>
    <w:rsid w:val="0052027E"/>
    <w:rsid w:val="0052379C"/>
    <w:rsid w:val="00526E84"/>
    <w:rsid w:val="00531DF3"/>
    <w:rsid w:val="00533E1B"/>
    <w:rsid w:val="0053410A"/>
    <w:rsid w:val="00542565"/>
    <w:rsid w:val="00546BA3"/>
    <w:rsid w:val="00563A6F"/>
    <w:rsid w:val="00563EA1"/>
    <w:rsid w:val="00573BDB"/>
    <w:rsid w:val="00575293"/>
    <w:rsid w:val="0057721C"/>
    <w:rsid w:val="005827FF"/>
    <w:rsid w:val="005838F8"/>
    <w:rsid w:val="00592DD4"/>
    <w:rsid w:val="005A09F4"/>
    <w:rsid w:val="005A0CDA"/>
    <w:rsid w:val="005B2A9C"/>
    <w:rsid w:val="005B57C9"/>
    <w:rsid w:val="005D1D4A"/>
    <w:rsid w:val="005D4D88"/>
    <w:rsid w:val="005D52CE"/>
    <w:rsid w:val="005F27FF"/>
    <w:rsid w:val="005F65CC"/>
    <w:rsid w:val="00600F18"/>
    <w:rsid w:val="00603572"/>
    <w:rsid w:val="00605954"/>
    <w:rsid w:val="00606E0A"/>
    <w:rsid w:val="00627F0B"/>
    <w:rsid w:val="00637328"/>
    <w:rsid w:val="0065291E"/>
    <w:rsid w:val="00656881"/>
    <w:rsid w:val="00663EC4"/>
    <w:rsid w:val="00680A77"/>
    <w:rsid w:val="00683E32"/>
    <w:rsid w:val="00690C20"/>
    <w:rsid w:val="006929BD"/>
    <w:rsid w:val="006930C6"/>
    <w:rsid w:val="006A0F9F"/>
    <w:rsid w:val="006B525E"/>
    <w:rsid w:val="006B73B9"/>
    <w:rsid w:val="006D05A0"/>
    <w:rsid w:val="006E3CE4"/>
    <w:rsid w:val="006F03A0"/>
    <w:rsid w:val="00706DA8"/>
    <w:rsid w:val="00720A16"/>
    <w:rsid w:val="00720B24"/>
    <w:rsid w:val="007549A2"/>
    <w:rsid w:val="007767C8"/>
    <w:rsid w:val="00777E45"/>
    <w:rsid w:val="007815FF"/>
    <w:rsid w:val="0078620A"/>
    <w:rsid w:val="007A6066"/>
    <w:rsid w:val="007D2A37"/>
    <w:rsid w:val="007D2EBB"/>
    <w:rsid w:val="007D7C54"/>
    <w:rsid w:val="007F16C7"/>
    <w:rsid w:val="007F6693"/>
    <w:rsid w:val="00805D36"/>
    <w:rsid w:val="00816B21"/>
    <w:rsid w:val="008174F3"/>
    <w:rsid w:val="00817A26"/>
    <w:rsid w:val="00821501"/>
    <w:rsid w:val="008261EE"/>
    <w:rsid w:val="008266AD"/>
    <w:rsid w:val="00837C05"/>
    <w:rsid w:val="0084004A"/>
    <w:rsid w:val="008444A2"/>
    <w:rsid w:val="00846D93"/>
    <w:rsid w:val="00850501"/>
    <w:rsid w:val="008516DA"/>
    <w:rsid w:val="008529FF"/>
    <w:rsid w:val="00873DCE"/>
    <w:rsid w:val="00876C56"/>
    <w:rsid w:val="00881F37"/>
    <w:rsid w:val="00883E84"/>
    <w:rsid w:val="008878E2"/>
    <w:rsid w:val="0089557A"/>
    <w:rsid w:val="008C7786"/>
    <w:rsid w:val="008D5E42"/>
    <w:rsid w:val="00900A72"/>
    <w:rsid w:val="009072BF"/>
    <w:rsid w:val="00911DFD"/>
    <w:rsid w:val="00912625"/>
    <w:rsid w:val="00923097"/>
    <w:rsid w:val="009275AF"/>
    <w:rsid w:val="00930317"/>
    <w:rsid w:val="00932E69"/>
    <w:rsid w:val="00941364"/>
    <w:rsid w:val="0094456B"/>
    <w:rsid w:val="009459B9"/>
    <w:rsid w:val="00950528"/>
    <w:rsid w:val="00955FE7"/>
    <w:rsid w:val="00960B94"/>
    <w:rsid w:val="00965BB6"/>
    <w:rsid w:val="00996241"/>
    <w:rsid w:val="009A2663"/>
    <w:rsid w:val="009A4F86"/>
    <w:rsid w:val="009A637C"/>
    <w:rsid w:val="009A7B17"/>
    <w:rsid w:val="009B08E3"/>
    <w:rsid w:val="009B11A6"/>
    <w:rsid w:val="009B5034"/>
    <w:rsid w:val="009C661E"/>
    <w:rsid w:val="009D4D9C"/>
    <w:rsid w:val="009E146F"/>
    <w:rsid w:val="009E3D69"/>
    <w:rsid w:val="009E6206"/>
    <w:rsid w:val="009F4107"/>
    <w:rsid w:val="009F6339"/>
    <w:rsid w:val="00A10B27"/>
    <w:rsid w:val="00A131F6"/>
    <w:rsid w:val="00A144B6"/>
    <w:rsid w:val="00A31AA1"/>
    <w:rsid w:val="00A33C75"/>
    <w:rsid w:val="00A401D0"/>
    <w:rsid w:val="00A41B99"/>
    <w:rsid w:val="00A43811"/>
    <w:rsid w:val="00A64B61"/>
    <w:rsid w:val="00A736EC"/>
    <w:rsid w:val="00A849A9"/>
    <w:rsid w:val="00A92D00"/>
    <w:rsid w:val="00AA10DB"/>
    <w:rsid w:val="00AA3FB7"/>
    <w:rsid w:val="00AA5A3D"/>
    <w:rsid w:val="00AB2048"/>
    <w:rsid w:val="00AC1A4F"/>
    <w:rsid w:val="00AC51D8"/>
    <w:rsid w:val="00AD67BA"/>
    <w:rsid w:val="00AF1536"/>
    <w:rsid w:val="00B165A7"/>
    <w:rsid w:val="00B23888"/>
    <w:rsid w:val="00B253B8"/>
    <w:rsid w:val="00B30E1D"/>
    <w:rsid w:val="00B32D37"/>
    <w:rsid w:val="00B333ED"/>
    <w:rsid w:val="00B35754"/>
    <w:rsid w:val="00B45695"/>
    <w:rsid w:val="00B500B4"/>
    <w:rsid w:val="00B5487F"/>
    <w:rsid w:val="00B5557F"/>
    <w:rsid w:val="00B638B6"/>
    <w:rsid w:val="00B743EB"/>
    <w:rsid w:val="00B74B8B"/>
    <w:rsid w:val="00B77618"/>
    <w:rsid w:val="00B77BC8"/>
    <w:rsid w:val="00B81F72"/>
    <w:rsid w:val="00BA1935"/>
    <w:rsid w:val="00BA5539"/>
    <w:rsid w:val="00BB6979"/>
    <w:rsid w:val="00BB7B44"/>
    <w:rsid w:val="00BC6994"/>
    <w:rsid w:val="00BC6B73"/>
    <w:rsid w:val="00BD0B42"/>
    <w:rsid w:val="00BE6ADD"/>
    <w:rsid w:val="00BF2502"/>
    <w:rsid w:val="00BF3B59"/>
    <w:rsid w:val="00BF6E17"/>
    <w:rsid w:val="00C0242D"/>
    <w:rsid w:val="00C04CA2"/>
    <w:rsid w:val="00C0779E"/>
    <w:rsid w:val="00C3405F"/>
    <w:rsid w:val="00C34475"/>
    <w:rsid w:val="00C3798E"/>
    <w:rsid w:val="00C42883"/>
    <w:rsid w:val="00C43623"/>
    <w:rsid w:val="00C4380C"/>
    <w:rsid w:val="00C6681D"/>
    <w:rsid w:val="00C70528"/>
    <w:rsid w:val="00C91604"/>
    <w:rsid w:val="00C91FDF"/>
    <w:rsid w:val="00C950B2"/>
    <w:rsid w:val="00CA289E"/>
    <w:rsid w:val="00CA326F"/>
    <w:rsid w:val="00CB01EA"/>
    <w:rsid w:val="00CB5A18"/>
    <w:rsid w:val="00CB75F3"/>
    <w:rsid w:val="00CD6D36"/>
    <w:rsid w:val="00CF5919"/>
    <w:rsid w:val="00CF5C8B"/>
    <w:rsid w:val="00D003CD"/>
    <w:rsid w:val="00D0060E"/>
    <w:rsid w:val="00D03B64"/>
    <w:rsid w:val="00D040FC"/>
    <w:rsid w:val="00D14129"/>
    <w:rsid w:val="00D1613D"/>
    <w:rsid w:val="00D230E8"/>
    <w:rsid w:val="00D27BF3"/>
    <w:rsid w:val="00D33719"/>
    <w:rsid w:val="00D34339"/>
    <w:rsid w:val="00D40C34"/>
    <w:rsid w:val="00D51335"/>
    <w:rsid w:val="00D57485"/>
    <w:rsid w:val="00D84BDF"/>
    <w:rsid w:val="00D84F6B"/>
    <w:rsid w:val="00DB184D"/>
    <w:rsid w:val="00DB41B3"/>
    <w:rsid w:val="00DB5B5D"/>
    <w:rsid w:val="00DC0497"/>
    <w:rsid w:val="00DC40CA"/>
    <w:rsid w:val="00DC5A55"/>
    <w:rsid w:val="00DD2EC9"/>
    <w:rsid w:val="00DE6683"/>
    <w:rsid w:val="00DF1191"/>
    <w:rsid w:val="00E25826"/>
    <w:rsid w:val="00E31F1D"/>
    <w:rsid w:val="00E33E3B"/>
    <w:rsid w:val="00E55FFF"/>
    <w:rsid w:val="00E577B4"/>
    <w:rsid w:val="00E63280"/>
    <w:rsid w:val="00E65B77"/>
    <w:rsid w:val="00E65B7A"/>
    <w:rsid w:val="00E70729"/>
    <w:rsid w:val="00E733BA"/>
    <w:rsid w:val="00E739EA"/>
    <w:rsid w:val="00E8179F"/>
    <w:rsid w:val="00E85041"/>
    <w:rsid w:val="00E903FB"/>
    <w:rsid w:val="00E9609B"/>
    <w:rsid w:val="00E962EF"/>
    <w:rsid w:val="00EA278F"/>
    <w:rsid w:val="00EB258D"/>
    <w:rsid w:val="00EB6B88"/>
    <w:rsid w:val="00EB6E5E"/>
    <w:rsid w:val="00EC0B9B"/>
    <w:rsid w:val="00EC51EB"/>
    <w:rsid w:val="00EE1011"/>
    <w:rsid w:val="00EE2BBD"/>
    <w:rsid w:val="00EE4972"/>
    <w:rsid w:val="00EE5414"/>
    <w:rsid w:val="00EE5705"/>
    <w:rsid w:val="00EE79D5"/>
    <w:rsid w:val="00EF0775"/>
    <w:rsid w:val="00F05F66"/>
    <w:rsid w:val="00F16D24"/>
    <w:rsid w:val="00F23563"/>
    <w:rsid w:val="00F31DA5"/>
    <w:rsid w:val="00F337EC"/>
    <w:rsid w:val="00F33FFF"/>
    <w:rsid w:val="00F34556"/>
    <w:rsid w:val="00F36CF6"/>
    <w:rsid w:val="00F43595"/>
    <w:rsid w:val="00F474A3"/>
    <w:rsid w:val="00F51194"/>
    <w:rsid w:val="00F53AFC"/>
    <w:rsid w:val="00F553DC"/>
    <w:rsid w:val="00F61471"/>
    <w:rsid w:val="00F734F0"/>
    <w:rsid w:val="00F74995"/>
    <w:rsid w:val="00F837C4"/>
    <w:rsid w:val="00F87322"/>
    <w:rsid w:val="00FA1415"/>
    <w:rsid w:val="00FC1506"/>
    <w:rsid w:val="00FC76D1"/>
    <w:rsid w:val="00FD27A4"/>
    <w:rsid w:val="00FD7CDE"/>
    <w:rsid w:val="00FE4331"/>
    <w:rsid w:val="00FE4DFE"/>
    <w:rsid w:val="00FF4483"/>
    <w:rsid w:val="0191663B"/>
    <w:rsid w:val="01D71782"/>
    <w:rsid w:val="02F85EF8"/>
    <w:rsid w:val="030D5131"/>
    <w:rsid w:val="033A4C57"/>
    <w:rsid w:val="069B24B3"/>
    <w:rsid w:val="071912E9"/>
    <w:rsid w:val="07A00433"/>
    <w:rsid w:val="0ACF2BA4"/>
    <w:rsid w:val="0F1B1C91"/>
    <w:rsid w:val="0F7C4996"/>
    <w:rsid w:val="125C1562"/>
    <w:rsid w:val="130B3475"/>
    <w:rsid w:val="13974E12"/>
    <w:rsid w:val="16944CA2"/>
    <w:rsid w:val="1A3F6183"/>
    <w:rsid w:val="203357DE"/>
    <w:rsid w:val="21263393"/>
    <w:rsid w:val="22813D8B"/>
    <w:rsid w:val="24345530"/>
    <w:rsid w:val="27B62558"/>
    <w:rsid w:val="287E7CF4"/>
    <w:rsid w:val="294367A7"/>
    <w:rsid w:val="296F60EC"/>
    <w:rsid w:val="31925066"/>
    <w:rsid w:val="37DB6FAF"/>
    <w:rsid w:val="3A97230D"/>
    <w:rsid w:val="3D8B519B"/>
    <w:rsid w:val="3E1A48D8"/>
    <w:rsid w:val="3EE965B0"/>
    <w:rsid w:val="3F052070"/>
    <w:rsid w:val="4015740B"/>
    <w:rsid w:val="403678C1"/>
    <w:rsid w:val="423B1D27"/>
    <w:rsid w:val="44074F99"/>
    <w:rsid w:val="469A5B8B"/>
    <w:rsid w:val="47A16F1B"/>
    <w:rsid w:val="4DDB40FA"/>
    <w:rsid w:val="56647A5F"/>
    <w:rsid w:val="56E90037"/>
    <w:rsid w:val="59FB539D"/>
    <w:rsid w:val="5A6C0863"/>
    <w:rsid w:val="5ABB23F2"/>
    <w:rsid w:val="5B4A1771"/>
    <w:rsid w:val="5F1963AB"/>
    <w:rsid w:val="60734DDD"/>
    <w:rsid w:val="60DF46FC"/>
    <w:rsid w:val="64265A12"/>
    <w:rsid w:val="65941370"/>
    <w:rsid w:val="6CFE042F"/>
    <w:rsid w:val="6D9055A2"/>
    <w:rsid w:val="7094141A"/>
    <w:rsid w:val="70F07D56"/>
    <w:rsid w:val="7309692D"/>
    <w:rsid w:val="7711395C"/>
    <w:rsid w:val="77187FF6"/>
    <w:rsid w:val="7828626F"/>
    <w:rsid w:val="78884A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annotation subject"/>
    <w:basedOn w:val="6"/>
    <w:next w:val="6"/>
    <w:link w:val="27"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unhideWhenUsed/>
    <w:qFormat/>
    <w:uiPriority w:val="99"/>
    <w:pPr>
      <w:jc w:val="left"/>
    </w:pPr>
  </w:style>
  <w:style w:type="paragraph" w:styleId="7">
    <w:name w:val="Body Text Indent"/>
    <w:basedOn w:val="1"/>
    <w:link w:val="22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Plain Text"/>
    <w:basedOn w:val="1"/>
    <w:link w:val="23"/>
    <w:qFormat/>
    <w:uiPriority w:val="0"/>
    <w:pPr>
      <w:widowControl/>
      <w:jc w:val="left"/>
    </w:pPr>
    <w:rPr>
      <w:rFonts w:ascii="宋体" w:hAnsi="Courier New" w:eastAsia="宋体" w:cs="Times New Roman"/>
      <w:kern w:val="0"/>
      <w:szCs w:val="20"/>
    </w:rPr>
  </w:style>
  <w:style w:type="paragraph" w:styleId="9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3"/>
    <w:link w:val="12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11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9"/>
    <w:semiHidden/>
    <w:qFormat/>
    <w:uiPriority w:val="99"/>
  </w:style>
  <w:style w:type="character" w:customStyle="1" w:styleId="21">
    <w:name w:val="标题 1 Char"/>
    <w:basedOn w:val="13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正文文本缩进 Char"/>
    <w:basedOn w:val="13"/>
    <w:link w:val="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3">
    <w:name w:val="纯文本 Char"/>
    <w:basedOn w:val="13"/>
    <w:link w:val="8"/>
    <w:qFormat/>
    <w:uiPriority w:val="0"/>
    <w:rPr>
      <w:rFonts w:ascii="宋体" w:hAnsi="Courier New" w:eastAsia="宋体" w:cs="Times New Roman"/>
      <w:kern w:val="0"/>
      <w:szCs w:val="20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批注文字 Char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Char"/>
    <w:basedOn w:val="26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5883</Words>
  <Characters>6168</Characters>
  <Lines>61</Lines>
  <Paragraphs>17</Paragraphs>
  <ScaleCrop>false</ScaleCrop>
  <LinksUpToDate>false</LinksUpToDate>
  <CharactersWithSpaces>6864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2020-03-02T01:03:00Z</dcterms:created>
  <dc:creator>Lenovo</dc:creator>
  <cp:lastModifiedBy>LENOVO</cp:lastModifiedBy>
  <cp:lastPrinted>2021-06-25T06:49:00Z</cp:lastPrinted>
  <dcterms:modified xsi:type="dcterms:W3CDTF">2021-06-30T03:53:41Z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